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8639A" w14:textId="6A338BFB" w:rsidR="00300CD3" w:rsidRDefault="00300CD3" w:rsidP="00300CD3">
      <w:pPr>
        <w:pStyle w:val="NoSpacing"/>
        <w:tabs>
          <w:tab w:val="left" w:pos="2280"/>
        </w:tabs>
        <w:jc w:val="center"/>
        <w:rPr>
          <w:rFonts w:ascii="Arial" w:hAnsi="Arial" w:cs="Arial"/>
          <w:sz w:val="32"/>
          <w:szCs w:val="32"/>
        </w:rPr>
      </w:pPr>
      <w:r w:rsidRPr="00300CD3">
        <w:rPr>
          <w:rFonts w:ascii="Arial" w:hAnsi="Arial" w:cs="Arial"/>
          <w:sz w:val="32"/>
          <w:szCs w:val="32"/>
        </w:rPr>
        <w:t xml:space="preserve">The following changes will be effective on </w:t>
      </w:r>
      <w:sdt>
        <w:sdtPr>
          <w:rPr>
            <w:rFonts w:ascii="Arial" w:hAnsi="Arial" w:cs="Arial"/>
            <w:b/>
            <w:color w:val="C00000"/>
            <w:sz w:val="32"/>
            <w:szCs w:val="32"/>
          </w:rPr>
          <w:id w:val="-1553375607"/>
          <w:placeholder>
            <w:docPart w:val="DefaultPlaceholder_1082065160"/>
          </w:placeholder>
          <w:date w:fullDate="2021-04-01T00:00:00Z">
            <w:dateFormat w:val="MMMM d, yyyy"/>
            <w:lid w:val="en-US"/>
            <w:storeMappedDataAs w:val="dateTime"/>
            <w:calendar w:val="gregorian"/>
          </w:date>
        </w:sdtPr>
        <w:sdtEndPr/>
        <w:sdtContent>
          <w:r w:rsidR="00F361FA">
            <w:rPr>
              <w:rFonts w:ascii="Arial" w:hAnsi="Arial" w:cs="Arial"/>
              <w:b/>
              <w:color w:val="C00000"/>
              <w:sz w:val="32"/>
              <w:szCs w:val="32"/>
            </w:rPr>
            <w:t>April 1, 2021</w:t>
          </w:r>
        </w:sdtContent>
      </w:sdt>
      <w:r w:rsidR="00EB6CA9" w:rsidRPr="00300CD3">
        <w:rPr>
          <w:rFonts w:ascii="Arial" w:hAnsi="Arial" w:cs="Arial"/>
          <w:sz w:val="32"/>
          <w:szCs w:val="32"/>
        </w:rPr>
        <w:t xml:space="preserve">, unless otherwise specified </w:t>
      </w:r>
      <w:r w:rsidR="00260815">
        <w:rPr>
          <w:rFonts w:ascii="Arial" w:hAnsi="Arial" w:cs="Arial"/>
          <w:sz w:val="32"/>
          <w:szCs w:val="32"/>
        </w:rPr>
        <w:t>and apply to the following plan</w:t>
      </w:r>
      <w:r w:rsidRPr="00300CD3">
        <w:rPr>
          <w:rFonts w:ascii="Arial" w:hAnsi="Arial" w:cs="Arial"/>
          <w:sz w:val="32"/>
          <w:szCs w:val="32"/>
        </w:rPr>
        <w:t>:</w:t>
      </w:r>
    </w:p>
    <w:p w14:paraId="3BE54E63" w14:textId="77777777" w:rsidR="00260815" w:rsidRDefault="00260815" w:rsidP="00300CD3">
      <w:pPr>
        <w:pStyle w:val="NoSpacing"/>
        <w:tabs>
          <w:tab w:val="left" w:pos="2280"/>
        </w:tabs>
        <w:jc w:val="center"/>
        <w:rPr>
          <w:rFonts w:ascii="Arial" w:hAnsi="Arial" w:cs="Arial"/>
          <w:sz w:val="32"/>
          <w:szCs w:val="32"/>
        </w:rPr>
      </w:pPr>
    </w:p>
    <w:p w14:paraId="36CD306D" w14:textId="75C9FF73" w:rsidR="00300CD3" w:rsidRPr="00213D61" w:rsidRDefault="00260815" w:rsidP="00300CD3">
      <w:pPr>
        <w:jc w:val="center"/>
        <w:rPr>
          <w:rFonts w:ascii="Arial" w:eastAsiaTheme="minorHAnsi" w:hAnsi="Arial" w:cs="Arial"/>
          <w:b/>
          <w:sz w:val="32"/>
          <w:szCs w:val="32"/>
        </w:rPr>
      </w:pPr>
      <w:r>
        <w:rPr>
          <w:rFonts w:ascii="Arial" w:hAnsi="Arial" w:cs="Arial"/>
          <w:b/>
          <w:sz w:val="32"/>
          <w:szCs w:val="32"/>
        </w:rPr>
        <w:t>Yamhill Community Care</w:t>
      </w:r>
      <w:r w:rsidR="00300CD3" w:rsidRPr="00213D61">
        <w:rPr>
          <w:rFonts w:ascii="Arial" w:hAnsi="Arial" w:cs="Arial"/>
          <w:b/>
          <w:sz w:val="32"/>
          <w:szCs w:val="32"/>
        </w:rPr>
        <w:t xml:space="preserve"> (Medicaid)</w:t>
      </w:r>
    </w:p>
    <w:p w14:paraId="16C9C29F" w14:textId="17ADBC5F" w:rsidR="00450D24" w:rsidRDefault="00450D24" w:rsidP="00450D24">
      <w:pPr>
        <w:pStyle w:val="NoSpacing"/>
        <w:rPr>
          <w:rFonts w:ascii="Arial" w:hAnsi="Arial" w:cs="Arial"/>
          <w:b/>
          <w:sz w:val="28"/>
          <w:szCs w:val="24"/>
          <w:vertAlign w:val="superscript"/>
        </w:rPr>
      </w:pPr>
    </w:p>
    <w:p w14:paraId="2525AF38" w14:textId="1A46786C" w:rsidR="001A05A8" w:rsidRPr="001A05A8" w:rsidRDefault="00300CD3" w:rsidP="001A05A8">
      <w:pPr>
        <w:pStyle w:val="NoSpacing"/>
        <w:spacing w:after="200"/>
        <w:rPr>
          <w:rFonts w:ascii="Arial" w:hAnsi="Arial" w:cs="Arial"/>
          <w:b/>
          <w:color w:val="365F91" w:themeColor="accent1" w:themeShade="BF"/>
          <w:sz w:val="32"/>
          <w:szCs w:val="24"/>
        </w:rPr>
      </w:pPr>
      <w:r w:rsidRPr="004A32C7">
        <w:rPr>
          <w:rFonts w:ascii="Arial" w:hAnsi="Arial" w:cs="Arial"/>
          <w:b/>
          <w:color w:val="365F91" w:themeColor="accent1" w:themeShade="BF"/>
          <w:sz w:val="32"/>
          <w:szCs w:val="24"/>
        </w:rPr>
        <w:t>Formulary Changes</w:t>
      </w:r>
    </w:p>
    <w:tbl>
      <w:tblPr>
        <w:tblStyle w:val="TableGrid"/>
        <w:tblW w:w="12780" w:type="dxa"/>
        <w:tblInd w:w="175" w:type="dxa"/>
        <w:tblLayout w:type="fixed"/>
        <w:tblLook w:val="04A0" w:firstRow="1" w:lastRow="0" w:firstColumn="1" w:lastColumn="0" w:noHBand="0" w:noVBand="1"/>
      </w:tblPr>
      <w:tblGrid>
        <w:gridCol w:w="3690"/>
        <w:gridCol w:w="5580"/>
        <w:gridCol w:w="3510"/>
      </w:tblGrid>
      <w:tr w:rsidR="001A05A8" w:rsidRPr="007E7F81" w14:paraId="5AF5EC3F" w14:textId="77777777" w:rsidTr="007E7F81">
        <w:trPr>
          <w:tblHeader/>
        </w:trPr>
        <w:tc>
          <w:tcPr>
            <w:tcW w:w="3690" w:type="dxa"/>
            <w:shd w:val="clear" w:color="auto" w:fill="B8CCE4" w:themeFill="accent1" w:themeFillTint="66"/>
          </w:tcPr>
          <w:p w14:paraId="31BFAEB8" w14:textId="77777777" w:rsidR="001A05A8" w:rsidRPr="007E7F81" w:rsidRDefault="001A05A8" w:rsidP="00036CC4">
            <w:pPr>
              <w:jc w:val="center"/>
              <w:rPr>
                <w:rFonts w:ascii="Arial" w:hAnsi="Arial" w:cs="Arial"/>
                <w:sz w:val="22"/>
                <w:szCs w:val="22"/>
              </w:rPr>
            </w:pPr>
            <w:r w:rsidRPr="007E7F81">
              <w:rPr>
                <w:rFonts w:ascii="Arial" w:hAnsi="Arial" w:cs="Arial"/>
                <w:b/>
                <w:bCs/>
                <w:sz w:val="22"/>
                <w:szCs w:val="22"/>
              </w:rPr>
              <w:t>Drug Name</w:t>
            </w:r>
          </w:p>
        </w:tc>
        <w:tc>
          <w:tcPr>
            <w:tcW w:w="5580" w:type="dxa"/>
            <w:shd w:val="clear" w:color="auto" w:fill="B8CCE4" w:themeFill="accent1" w:themeFillTint="66"/>
          </w:tcPr>
          <w:p w14:paraId="219E853D" w14:textId="77777777" w:rsidR="001A05A8" w:rsidRPr="007E7F81" w:rsidRDefault="001A05A8" w:rsidP="00036CC4">
            <w:pPr>
              <w:jc w:val="center"/>
              <w:rPr>
                <w:rFonts w:ascii="Arial" w:hAnsi="Arial" w:cs="Arial"/>
                <w:b/>
                <w:bCs/>
                <w:sz w:val="22"/>
                <w:szCs w:val="22"/>
              </w:rPr>
            </w:pPr>
            <w:r w:rsidRPr="007E7F81">
              <w:rPr>
                <w:rFonts w:ascii="Arial" w:hAnsi="Arial" w:cs="Arial"/>
                <w:b/>
                <w:bCs/>
                <w:sz w:val="22"/>
                <w:szCs w:val="22"/>
              </w:rPr>
              <w:t>Recommendation</w:t>
            </w:r>
          </w:p>
        </w:tc>
        <w:tc>
          <w:tcPr>
            <w:tcW w:w="3510" w:type="dxa"/>
            <w:shd w:val="clear" w:color="auto" w:fill="B8CCE4" w:themeFill="accent1" w:themeFillTint="66"/>
          </w:tcPr>
          <w:p w14:paraId="596A3812" w14:textId="77777777" w:rsidR="001A05A8" w:rsidRPr="007E7F81" w:rsidRDefault="001A05A8" w:rsidP="00036CC4">
            <w:pPr>
              <w:jc w:val="center"/>
              <w:rPr>
                <w:rFonts w:ascii="Arial" w:hAnsi="Arial" w:cs="Arial"/>
                <w:sz w:val="22"/>
                <w:szCs w:val="22"/>
              </w:rPr>
            </w:pPr>
            <w:r w:rsidRPr="007E7F81">
              <w:rPr>
                <w:rFonts w:ascii="Arial" w:hAnsi="Arial" w:cs="Arial"/>
                <w:b/>
                <w:bCs/>
                <w:sz w:val="22"/>
                <w:szCs w:val="22"/>
              </w:rPr>
              <w:t>Policy Name</w:t>
            </w:r>
          </w:p>
        </w:tc>
      </w:tr>
      <w:tr w:rsidR="009C284A" w:rsidRPr="007E7F81" w14:paraId="6903C18C" w14:textId="77777777" w:rsidTr="007E7F81">
        <w:tc>
          <w:tcPr>
            <w:tcW w:w="3690" w:type="dxa"/>
          </w:tcPr>
          <w:p w14:paraId="5FDEDD16" w14:textId="2737890A" w:rsidR="009C284A" w:rsidRPr="007E7F81" w:rsidRDefault="009C284A" w:rsidP="009C284A">
            <w:pPr>
              <w:rPr>
                <w:rFonts w:ascii="Arial" w:hAnsi="Arial" w:cs="Arial"/>
                <w:b/>
                <w:sz w:val="22"/>
                <w:szCs w:val="22"/>
              </w:rPr>
            </w:pPr>
            <w:proofErr w:type="spellStart"/>
            <w:r w:rsidRPr="007E7F81">
              <w:rPr>
                <w:rFonts w:ascii="Arial" w:hAnsi="Arial" w:cs="Arial"/>
                <w:b/>
                <w:sz w:val="22"/>
                <w:szCs w:val="22"/>
              </w:rPr>
              <w:t>Alkindi</w:t>
            </w:r>
            <w:proofErr w:type="spellEnd"/>
            <w:r w:rsidRPr="007E7F81">
              <w:rPr>
                <w:rFonts w:ascii="Arial" w:hAnsi="Arial" w:cs="Arial"/>
                <w:b/>
                <w:sz w:val="22"/>
                <w:szCs w:val="22"/>
              </w:rPr>
              <w:t xml:space="preserve"> Sprinkle® (hydrocortisone) Capsules</w:t>
            </w:r>
          </w:p>
        </w:tc>
        <w:tc>
          <w:tcPr>
            <w:tcW w:w="5580" w:type="dxa"/>
          </w:tcPr>
          <w:p w14:paraId="436F5DDB" w14:textId="77777777" w:rsidR="007A4E83" w:rsidRDefault="009C284A" w:rsidP="007A4E83">
            <w:pPr>
              <w:rPr>
                <w:rFonts w:ascii="Arial" w:hAnsi="Arial" w:cs="Arial"/>
                <w:sz w:val="22"/>
                <w:szCs w:val="22"/>
              </w:rPr>
            </w:pPr>
            <w:r w:rsidRPr="007E7F81">
              <w:rPr>
                <w:rFonts w:ascii="Arial" w:hAnsi="Arial" w:cs="Arial"/>
                <w:sz w:val="22"/>
                <w:szCs w:val="22"/>
              </w:rPr>
              <w:t>New Dosage Form and Strength:</w:t>
            </w:r>
          </w:p>
          <w:p w14:paraId="03D48F6E" w14:textId="02F67190" w:rsidR="009C284A" w:rsidRPr="007A4E83" w:rsidRDefault="009C284A" w:rsidP="007A4E83">
            <w:pPr>
              <w:pStyle w:val="ListParagraph"/>
              <w:numPr>
                <w:ilvl w:val="0"/>
                <w:numId w:val="11"/>
              </w:numPr>
              <w:rPr>
                <w:rFonts w:ascii="Arial" w:hAnsi="Arial" w:cs="Arial"/>
                <w:sz w:val="22"/>
                <w:szCs w:val="22"/>
              </w:rPr>
            </w:pPr>
            <w:r w:rsidRPr="007A4E83">
              <w:rPr>
                <w:rFonts w:ascii="Arial" w:hAnsi="Arial" w:cs="Arial"/>
                <w:sz w:val="22"/>
                <w:szCs w:val="22"/>
              </w:rPr>
              <w:t>Non-Formulary</w:t>
            </w:r>
          </w:p>
        </w:tc>
        <w:tc>
          <w:tcPr>
            <w:tcW w:w="3510" w:type="dxa"/>
          </w:tcPr>
          <w:p w14:paraId="0C8F1ACC" w14:textId="2D853F36" w:rsidR="009C284A" w:rsidRPr="007E7F81" w:rsidRDefault="009C284A" w:rsidP="009C284A">
            <w:pPr>
              <w:rPr>
                <w:rFonts w:ascii="Arial" w:hAnsi="Arial" w:cs="Arial"/>
                <w:sz w:val="22"/>
                <w:szCs w:val="22"/>
              </w:rPr>
            </w:pPr>
            <w:r w:rsidRPr="007E7F81">
              <w:rPr>
                <w:rFonts w:ascii="Arial" w:hAnsi="Arial" w:cs="Arial"/>
                <w:sz w:val="22"/>
                <w:szCs w:val="22"/>
              </w:rPr>
              <w:t>N/A</w:t>
            </w:r>
          </w:p>
        </w:tc>
      </w:tr>
      <w:tr w:rsidR="009C284A" w:rsidRPr="007E7F81" w14:paraId="1A8A6E3D" w14:textId="77777777" w:rsidTr="007E7F81">
        <w:tc>
          <w:tcPr>
            <w:tcW w:w="3690" w:type="dxa"/>
          </w:tcPr>
          <w:p w14:paraId="502515F7" w14:textId="2715328E" w:rsidR="009C284A" w:rsidRPr="007E7F81" w:rsidRDefault="009C284A" w:rsidP="009C284A">
            <w:pPr>
              <w:rPr>
                <w:rFonts w:ascii="Arial" w:hAnsi="Arial" w:cs="Arial"/>
                <w:b/>
                <w:sz w:val="22"/>
                <w:szCs w:val="22"/>
              </w:rPr>
            </w:pPr>
            <w:r w:rsidRPr="007E7F81">
              <w:rPr>
                <w:rFonts w:ascii="Arial" w:hAnsi="Arial" w:cs="Arial"/>
                <w:b/>
                <w:sz w:val="22"/>
                <w:szCs w:val="22"/>
              </w:rPr>
              <w:t>Atorvastatin 10, 20, and 40 mg Tablets</w:t>
            </w:r>
          </w:p>
        </w:tc>
        <w:tc>
          <w:tcPr>
            <w:tcW w:w="5580" w:type="dxa"/>
          </w:tcPr>
          <w:p w14:paraId="2811C7A3" w14:textId="0E44AA14" w:rsidR="009C284A" w:rsidRPr="007E7F81" w:rsidRDefault="009C284A" w:rsidP="009C284A">
            <w:pPr>
              <w:rPr>
                <w:rFonts w:ascii="Arial" w:hAnsi="Arial" w:cs="Arial"/>
                <w:sz w:val="22"/>
                <w:szCs w:val="22"/>
              </w:rPr>
            </w:pPr>
            <w:r w:rsidRPr="007E7F81">
              <w:rPr>
                <w:rFonts w:ascii="Arial" w:hAnsi="Arial" w:cs="Arial"/>
                <w:sz w:val="22"/>
                <w:szCs w:val="22"/>
              </w:rPr>
              <w:t>Remove Q</w:t>
            </w:r>
            <w:r w:rsidR="003A06F7">
              <w:rPr>
                <w:rFonts w:ascii="Arial" w:hAnsi="Arial" w:cs="Arial"/>
                <w:sz w:val="22"/>
                <w:szCs w:val="22"/>
              </w:rPr>
              <w:t>uantity Limit for</w:t>
            </w:r>
            <w:r w:rsidRPr="007E7F81">
              <w:rPr>
                <w:rFonts w:ascii="Arial" w:hAnsi="Arial" w:cs="Arial"/>
                <w:sz w:val="22"/>
                <w:szCs w:val="22"/>
              </w:rPr>
              <w:t xml:space="preserve"> Medicaid</w:t>
            </w:r>
          </w:p>
          <w:p w14:paraId="39C8731B" w14:textId="0D4F086B" w:rsidR="009C284A" w:rsidRPr="007E7F81" w:rsidRDefault="009C284A" w:rsidP="003D7F23">
            <w:pPr>
              <w:numPr>
                <w:ilvl w:val="0"/>
                <w:numId w:val="1"/>
              </w:numPr>
              <w:contextualSpacing/>
              <w:rPr>
                <w:rFonts w:ascii="Arial" w:hAnsi="Arial" w:cs="Arial"/>
                <w:sz w:val="22"/>
                <w:szCs w:val="22"/>
              </w:rPr>
            </w:pPr>
            <w:r w:rsidRPr="007E7F81">
              <w:rPr>
                <w:rFonts w:ascii="Arial" w:hAnsi="Arial" w:cs="Arial"/>
                <w:sz w:val="22"/>
                <w:szCs w:val="22"/>
              </w:rPr>
              <w:t>Medicaid: Formulary</w:t>
            </w:r>
          </w:p>
        </w:tc>
        <w:tc>
          <w:tcPr>
            <w:tcW w:w="3510" w:type="dxa"/>
          </w:tcPr>
          <w:p w14:paraId="59F4AC7F" w14:textId="7E39670D" w:rsidR="009C284A" w:rsidRPr="007E7F81" w:rsidRDefault="009C284A" w:rsidP="009C284A">
            <w:pPr>
              <w:rPr>
                <w:rFonts w:ascii="Arial" w:hAnsi="Arial" w:cs="Arial"/>
                <w:sz w:val="22"/>
                <w:szCs w:val="22"/>
              </w:rPr>
            </w:pPr>
            <w:r w:rsidRPr="007E7F81">
              <w:rPr>
                <w:rFonts w:ascii="Arial" w:hAnsi="Arial" w:cs="Arial"/>
                <w:sz w:val="22"/>
                <w:szCs w:val="22"/>
              </w:rPr>
              <w:t>N/A</w:t>
            </w:r>
          </w:p>
        </w:tc>
      </w:tr>
      <w:tr w:rsidR="009C284A" w:rsidRPr="007E7F81" w14:paraId="2A73419B" w14:textId="77777777" w:rsidTr="007E7F81">
        <w:tc>
          <w:tcPr>
            <w:tcW w:w="3690" w:type="dxa"/>
          </w:tcPr>
          <w:p w14:paraId="42EC4CD5" w14:textId="36DD9740" w:rsidR="009C284A" w:rsidRPr="007E7F81" w:rsidRDefault="009C284A" w:rsidP="009C284A">
            <w:pPr>
              <w:rPr>
                <w:rFonts w:ascii="Arial" w:hAnsi="Arial" w:cs="Arial"/>
                <w:b/>
                <w:sz w:val="22"/>
                <w:szCs w:val="22"/>
              </w:rPr>
            </w:pPr>
            <w:proofErr w:type="spellStart"/>
            <w:r w:rsidRPr="007E7F81">
              <w:rPr>
                <w:rFonts w:ascii="Arial" w:hAnsi="Arial" w:cs="Arial"/>
                <w:b/>
                <w:sz w:val="22"/>
                <w:szCs w:val="22"/>
              </w:rPr>
              <w:t>Cosentyx</w:t>
            </w:r>
            <w:proofErr w:type="spellEnd"/>
            <w:r w:rsidRPr="007E7F81">
              <w:rPr>
                <w:rFonts w:ascii="Arial" w:hAnsi="Arial" w:cs="Arial"/>
                <w:b/>
                <w:sz w:val="22"/>
                <w:szCs w:val="22"/>
              </w:rPr>
              <w:t>® (</w:t>
            </w:r>
            <w:proofErr w:type="spellStart"/>
            <w:r w:rsidRPr="007E7F81">
              <w:rPr>
                <w:rFonts w:ascii="Arial" w:hAnsi="Arial" w:cs="Arial"/>
                <w:b/>
                <w:sz w:val="22"/>
                <w:szCs w:val="22"/>
              </w:rPr>
              <w:t>secukinumab</w:t>
            </w:r>
            <w:proofErr w:type="spellEnd"/>
            <w:r w:rsidRPr="007E7F81">
              <w:rPr>
                <w:rFonts w:ascii="Arial" w:hAnsi="Arial" w:cs="Arial"/>
                <w:b/>
                <w:sz w:val="22"/>
                <w:szCs w:val="22"/>
              </w:rPr>
              <w:t>)</w:t>
            </w:r>
          </w:p>
        </w:tc>
        <w:tc>
          <w:tcPr>
            <w:tcW w:w="5580" w:type="dxa"/>
          </w:tcPr>
          <w:p w14:paraId="19C37B20" w14:textId="1DB2F1AD" w:rsidR="009C284A" w:rsidRPr="007E7F81" w:rsidRDefault="009C284A" w:rsidP="009C284A">
            <w:pPr>
              <w:contextualSpacing/>
              <w:rPr>
                <w:rFonts w:ascii="Arial" w:hAnsi="Arial" w:cs="Arial"/>
                <w:sz w:val="22"/>
                <w:szCs w:val="22"/>
              </w:rPr>
            </w:pPr>
            <w:r w:rsidRPr="007E7F81">
              <w:rPr>
                <w:rFonts w:ascii="Arial" w:hAnsi="Arial" w:cs="Arial"/>
                <w:sz w:val="22"/>
                <w:szCs w:val="22"/>
              </w:rPr>
              <w:t>Add to Medicaid Formulary: Formulary, Specialty, Prior Authorization, Quantity Limit (2 injections per 28 days)</w:t>
            </w:r>
          </w:p>
        </w:tc>
        <w:tc>
          <w:tcPr>
            <w:tcW w:w="3510" w:type="dxa"/>
          </w:tcPr>
          <w:p w14:paraId="5CCC7361" w14:textId="70AF566D" w:rsidR="009C284A" w:rsidRPr="007E7F81" w:rsidRDefault="009C284A" w:rsidP="009C284A">
            <w:pPr>
              <w:rPr>
                <w:rFonts w:ascii="Arial" w:hAnsi="Arial" w:cs="Arial"/>
                <w:sz w:val="22"/>
                <w:szCs w:val="22"/>
              </w:rPr>
            </w:pPr>
            <w:r w:rsidRPr="007E7F81">
              <w:rPr>
                <w:rFonts w:ascii="Arial" w:hAnsi="Arial" w:cs="Arial"/>
                <w:sz w:val="22"/>
                <w:szCs w:val="22"/>
              </w:rPr>
              <w:t>Therapeutic Immunomodulators - Medicaid</w:t>
            </w:r>
          </w:p>
        </w:tc>
      </w:tr>
      <w:tr w:rsidR="009C284A" w:rsidRPr="007E7F81" w14:paraId="1D4A61DE" w14:textId="77777777" w:rsidTr="007E7F81">
        <w:tc>
          <w:tcPr>
            <w:tcW w:w="3690" w:type="dxa"/>
          </w:tcPr>
          <w:p w14:paraId="271A14B3" w14:textId="61C89D30" w:rsidR="009C284A" w:rsidRPr="007E7F81" w:rsidRDefault="009C284A" w:rsidP="009C284A">
            <w:pPr>
              <w:rPr>
                <w:rFonts w:ascii="Arial" w:hAnsi="Arial" w:cs="Arial"/>
                <w:b/>
                <w:sz w:val="22"/>
                <w:szCs w:val="22"/>
              </w:rPr>
            </w:pPr>
            <w:proofErr w:type="spellStart"/>
            <w:r w:rsidRPr="007E7F81">
              <w:rPr>
                <w:rFonts w:ascii="Arial" w:hAnsi="Arial" w:cs="Arial"/>
                <w:b/>
                <w:sz w:val="22"/>
                <w:szCs w:val="22"/>
              </w:rPr>
              <w:t>Dificid</w:t>
            </w:r>
            <w:proofErr w:type="spellEnd"/>
            <w:r w:rsidRPr="007E7F81">
              <w:rPr>
                <w:rFonts w:ascii="Arial" w:hAnsi="Arial" w:cs="Arial"/>
                <w:b/>
                <w:sz w:val="22"/>
                <w:szCs w:val="22"/>
              </w:rPr>
              <w:t>® (</w:t>
            </w:r>
            <w:proofErr w:type="spellStart"/>
            <w:r w:rsidRPr="007E7F81">
              <w:rPr>
                <w:rFonts w:ascii="Arial" w:hAnsi="Arial" w:cs="Arial"/>
                <w:b/>
                <w:sz w:val="22"/>
                <w:szCs w:val="22"/>
              </w:rPr>
              <w:t>fidaxomicin</w:t>
            </w:r>
            <w:proofErr w:type="spellEnd"/>
            <w:r w:rsidRPr="007E7F81">
              <w:rPr>
                <w:rFonts w:ascii="Arial" w:hAnsi="Arial" w:cs="Arial"/>
                <w:b/>
                <w:sz w:val="22"/>
                <w:szCs w:val="22"/>
              </w:rPr>
              <w:t>) 40 mg/mL suspension</w:t>
            </w:r>
          </w:p>
        </w:tc>
        <w:tc>
          <w:tcPr>
            <w:tcW w:w="5580" w:type="dxa"/>
          </w:tcPr>
          <w:p w14:paraId="746A2B8D" w14:textId="77777777" w:rsidR="009C284A" w:rsidRPr="007E7F81" w:rsidRDefault="009C284A" w:rsidP="009C284A">
            <w:pPr>
              <w:rPr>
                <w:rFonts w:ascii="Arial" w:hAnsi="Arial" w:cs="Arial"/>
                <w:sz w:val="22"/>
                <w:szCs w:val="22"/>
              </w:rPr>
            </w:pPr>
            <w:r w:rsidRPr="007E7F81">
              <w:rPr>
                <w:rFonts w:ascii="Arial" w:hAnsi="Arial" w:cs="Arial"/>
                <w:sz w:val="22"/>
                <w:szCs w:val="22"/>
              </w:rPr>
              <w:t>New Dosage Form</w:t>
            </w:r>
          </w:p>
          <w:p w14:paraId="16CA8DB9" w14:textId="78D996F6" w:rsidR="009C284A" w:rsidRPr="007E7F81" w:rsidRDefault="009C284A" w:rsidP="003D7F23">
            <w:pPr>
              <w:numPr>
                <w:ilvl w:val="0"/>
                <w:numId w:val="7"/>
              </w:numPr>
              <w:contextualSpacing/>
              <w:rPr>
                <w:rFonts w:ascii="Arial" w:hAnsi="Arial" w:cs="Arial"/>
                <w:sz w:val="22"/>
                <w:szCs w:val="22"/>
              </w:rPr>
            </w:pPr>
            <w:r w:rsidRPr="007E7F81">
              <w:rPr>
                <w:rFonts w:ascii="Arial" w:hAnsi="Arial" w:cs="Arial"/>
                <w:sz w:val="22"/>
                <w:szCs w:val="22"/>
              </w:rPr>
              <w:t>Medicaid: Formulary, Step Therapy</w:t>
            </w:r>
          </w:p>
        </w:tc>
        <w:tc>
          <w:tcPr>
            <w:tcW w:w="3510" w:type="dxa"/>
          </w:tcPr>
          <w:p w14:paraId="25832A03" w14:textId="3A220342" w:rsidR="009C284A" w:rsidRPr="007E7F81" w:rsidRDefault="009C284A" w:rsidP="009C284A">
            <w:pPr>
              <w:contextualSpacing/>
              <w:rPr>
                <w:rFonts w:ascii="Arial" w:hAnsi="Arial" w:cs="Arial"/>
                <w:sz w:val="22"/>
                <w:szCs w:val="22"/>
              </w:rPr>
            </w:pPr>
            <w:proofErr w:type="spellStart"/>
            <w:r w:rsidRPr="007E7F81">
              <w:rPr>
                <w:rFonts w:ascii="Arial" w:hAnsi="Arial" w:cs="Arial"/>
                <w:sz w:val="22"/>
                <w:szCs w:val="22"/>
              </w:rPr>
              <w:t>Dificid</w:t>
            </w:r>
            <w:proofErr w:type="spellEnd"/>
          </w:p>
          <w:p w14:paraId="73ABB4F7" w14:textId="6D0566A3" w:rsidR="009C284A" w:rsidRPr="007E7F81" w:rsidRDefault="009C284A" w:rsidP="009C284A">
            <w:pPr>
              <w:rPr>
                <w:rFonts w:ascii="Arial" w:hAnsi="Arial" w:cs="Arial"/>
                <w:sz w:val="22"/>
                <w:szCs w:val="22"/>
              </w:rPr>
            </w:pPr>
          </w:p>
        </w:tc>
      </w:tr>
      <w:tr w:rsidR="009C284A" w:rsidRPr="007E7F81" w14:paraId="0FCAC488" w14:textId="77777777" w:rsidTr="007E7F81">
        <w:tc>
          <w:tcPr>
            <w:tcW w:w="3690" w:type="dxa"/>
          </w:tcPr>
          <w:p w14:paraId="22DC1577" w14:textId="79712B2B" w:rsidR="009C284A" w:rsidRPr="007E7F81" w:rsidRDefault="009C284A" w:rsidP="009C284A">
            <w:pPr>
              <w:rPr>
                <w:rFonts w:ascii="Arial" w:hAnsi="Arial" w:cs="Arial"/>
                <w:b/>
                <w:sz w:val="22"/>
                <w:szCs w:val="22"/>
              </w:rPr>
            </w:pPr>
            <w:proofErr w:type="spellStart"/>
            <w:r w:rsidRPr="007E7F81">
              <w:rPr>
                <w:rFonts w:ascii="Arial" w:hAnsi="Arial" w:cs="Arial"/>
                <w:b/>
                <w:sz w:val="22"/>
                <w:szCs w:val="22"/>
              </w:rPr>
              <w:t>Impeklo</w:t>
            </w:r>
            <w:proofErr w:type="spellEnd"/>
            <w:r w:rsidRPr="007E7F81">
              <w:rPr>
                <w:rFonts w:ascii="Arial" w:hAnsi="Arial" w:cs="Arial"/>
                <w:b/>
                <w:sz w:val="22"/>
                <w:szCs w:val="22"/>
              </w:rPr>
              <w:t>® (</w:t>
            </w:r>
            <w:proofErr w:type="spellStart"/>
            <w:r w:rsidRPr="007E7F81">
              <w:rPr>
                <w:rFonts w:ascii="Arial" w:hAnsi="Arial" w:cs="Arial"/>
                <w:b/>
                <w:sz w:val="22"/>
                <w:szCs w:val="22"/>
              </w:rPr>
              <w:t>clobetasol</w:t>
            </w:r>
            <w:proofErr w:type="spellEnd"/>
            <w:r w:rsidRPr="007E7F81">
              <w:rPr>
                <w:rFonts w:ascii="Arial" w:hAnsi="Arial" w:cs="Arial"/>
                <w:b/>
                <w:sz w:val="22"/>
                <w:szCs w:val="22"/>
              </w:rPr>
              <w:t>) 0.05% lotion pump</w:t>
            </w:r>
          </w:p>
        </w:tc>
        <w:tc>
          <w:tcPr>
            <w:tcW w:w="5580" w:type="dxa"/>
          </w:tcPr>
          <w:p w14:paraId="4EA7EB77" w14:textId="77777777" w:rsidR="009C284A" w:rsidRPr="007E7F81" w:rsidRDefault="009C284A" w:rsidP="009C284A">
            <w:pPr>
              <w:rPr>
                <w:rFonts w:ascii="Arial" w:hAnsi="Arial" w:cs="Arial"/>
                <w:sz w:val="22"/>
                <w:szCs w:val="22"/>
              </w:rPr>
            </w:pPr>
            <w:r w:rsidRPr="007E7F81">
              <w:rPr>
                <w:rFonts w:ascii="Arial" w:hAnsi="Arial" w:cs="Arial"/>
                <w:sz w:val="22"/>
                <w:szCs w:val="22"/>
              </w:rPr>
              <w:t>New Dosage Form</w:t>
            </w:r>
          </w:p>
          <w:p w14:paraId="07066B8D" w14:textId="1DA073D3" w:rsidR="009C284A" w:rsidRPr="007E7F81" w:rsidRDefault="009C284A" w:rsidP="003D7F23">
            <w:pPr>
              <w:numPr>
                <w:ilvl w:val="0"/>
                <w:numId w:val="7"/>
              </w:numPr>
              <w:contextualSpacing/>
              <w:rPr>
                <w:rFonts w:ascii="Arial" w:hAnsi="Arial" w:cs="Arial"/>
                <w:sz w:val="22"/>
                <w:szCs w:val="22"/>
              </w:rPr>
            </w:pPr>
            <w:r w:rsidRPr="007E7F81">
              <w:rPr>
                <w:rFonts w:ascii="Arial" w:hAnsi="Arial" w:cs="Arial"/>
                <w:sz w:val="22"/>
                <w:szCs w:val="22"/>
              </w:rPr>
              <w:t>Non-Formulary, Prior Authorization</w:t>
            </w:r>
          </w:p>
        </w:tc>
        <w:tc>
          <w:tcPr>
            <w:tcW w:w="3510" w:type="dxa"/>
          </w:tcPr>
          <w:p w14:paraId="1C58A551" w14:textId="49B504E7" w:rsidR="009C284A" w:rsidRPr="007E7F81" w:rsidRDefault="009C284A" w:rsidP="009C284A">
            <w:pPr>
              <w:contextualSpacing/>
              <w:rPr>
                <w:rFonts w:ascii="Arial" w:hAnsi="Arial" w:cs="Arial"/>
                <w:sz w:val="22"/>
                <w:szCs w:val="22"/>
              </w:rPr>
            </w:pPr>
            <w:r w:rsidRPr="007E7F81">
              <w:rPr>
                <w:rFonts w:ascii="Arial" w:hAnsi="Arial" w:cs="Arial"/>
                <w:sz w:val="22"/>
                <w:szCs w:val="22"/>
              </w:rPr>
              <w:t>New Medications and Formulations without Established Benefit</w:t>
            </w:r>
          </w:p>
        </w:tc>
      </w:tr>
      <w:tr w:rsidR="009C284A" w:rsidRPr="007E7F81" w14:paraId="1D7AAD54" w14:textId="77777777" w:rsidTr="007E7F81">
        <w:tc>
          <w:tcPr>
            <w:tcW w:w="3690" w:type="dxa"/>
          </w:tcPr>
          <w:p w14:paraId="0F913616" w14:textId="0BCD42C4" w:rsidR="009C284A" w:rsidRPr="007E7F81" w:rsidRDefault="009C284A" w:rsidP="009C284A">
            <w:pPr>
              <w:rPr>
                <w:rFonts w:ascii="Arial" w:hAnsi="Arial" w:cs="Arial"/>
                <w:b/>
                <w:sz w:val="22"/>
                <w:szCs w:val="22"/>
              </w:rPr>
            </w:pPr>
            <w:proofErr w:type="spellStart"/>
            <w:r w:rsidRPr="007E7F81">
              <w:rPr>
                <w:rFonts w:ascii="Arial" w:hAnsi="Arial" w:cs="Arial"/>
                <w:b/>
                <w:sz w:val="22"/>
                <w:szCs w:val="22"/>
              </w:rPr>
              <w:t>Moxifloxacin</w:t>
            </w:r>
            <w:proofErr w:type="spellEnd"/>
            <w:r w:rsidRPr="007E7F81">
              <w:rPr>
                <w:rFonts w:ascii="Arial" w:hAnsi="Arial" w:cs="Arial"/>
                <w:b/>
                <w:sz w:val="22"/>
                <w:szCs w:val="22"/>
              </w:rPr>
              <w:t xml:space="preserve"> (</w:t>
            </w:r>
            <w:proofErr w:type="spellStart"/>
            <w:r w:rsidRPr="007E7F81">
              <w:rPr>
                <w:rFonts w:ascii="Arial" w:hAnsi="Arial" w:cs="Arial"/>
                <w:b/>
                <w:sz w:val="22"/>
                <w:szCs w:val="22"/>
              </w:rPr>
              <w:t>Vigamox</w:t>
            </w:r>
            <w:proofErr w:type="spellEnd"/>
            <w:r w:rsidRPr="007E7F81">
              <w:rPr>
                <w:rFonts w:ascii="Arial" w:hAnsi="Arial" w:cs="Arial"/>
                <w:b/>
                <w:sz w:val="22"/>
                <w:szCs w:val="22"/>
              </w:rPr>
              <w:t>®) Eye Drops</w:t>
            </w:r>
          </w:p>
        </w:tc>
        <w:tc>
          <w:tcPr>
            <w:tcW w:w="5580" w:type="dxa"/>
          </w:tcPr>
          <w:p w14:paraId="43744717" w14:textId="77777777" w:rsidR="009C284A" w:rsidRPr="007E7F81" w:rsidRDefault="009C284A" w:rsidP="009C284A">
            <w:pPr>
              <w:rPr>
                <w:rFonts w:ascii="Arial" w:hAnsi="Arial" w:cs="Arial"/>
                <w:sz w:val="22"/>
                <w:szCs w:val="22"/>
              </w:rPr>
            </w:pPr>
            <w:r w:rsidRPr="007E7F81">
              <w:rPr>
                <w:rFonts w:ascii="Arial" w:hAnsi="Arial" w:cs="Arial"/>
                <w:sz w:val="22"/>
                <w:szCs w:val="22"/>
              </w:rPr>
              <w:t>Down-tier the generic and add to Medicaid formulary:</w:t>
            </w:r>
          </w:p>
          <w:p w14:paraId="50D49DFE" w14:textId="1B86AED2" w:rsidR="009C284A" w:rsidRPr="007E7F81" w:rsidRDefault="009C284A" w:rsidP="003D7F23">
            <w:pPr>
              <w:numPr>
                <w:ilvl w:val="0"/>
                <w:numId w:val="8"/>
              </w:numPr>
              <w:contextualSpacing/>
              <w:rPr>
                <w:rFonts w:ascii="Arial" w:hAnsi="Arial" w:cs="Arial"/>
                <w:sz w:val="22"/>
                <w:szCs w:val="22"/>
              </w:rPr>
            </w:pPr>
            <w:r w:rsidRPr="007E7F81">
              <w:rPr>
                <w:rFonts w:ascii="Arial" w:hAnsi="Arial" w:cs="Arial"/>
                <w:sz w:val="22"/>
                <w:szCs w:val="22"/>
              </w:rPr>
              <w:t>Medicaid: Formulary</w:t>
            </w:r>
          </w:p>
        </w:tc>
        <w:tc>
          <w:tcPr>
            <w:tcW w:w="3510" w:type="dxa"/>
          </w:tcPr>
          <w:p w14:paraId="07BDF55D" w14:textId="6CC9EE94" w:rsidR="009C284A" w:rsidRPr="007E7F81" w:rsidRDefault="009C284A" w:rsidP="009C284A">
            <w:pPr>
              <w:rPr>
                <w:rFonts w:ascii="Arial" w:hAnsi="Arial" w:cs="Arial"/>
                <w:sz w:val="22"/>
                <w:szCs w:val="22"/>
              </w:rPr>
            </w:pPr>
            <w:r w:rsidRPr="007E7F81">
              <w:rPr>
                <w:rFonts w:ascii="Arial" w:hAnsi="Arial" w:cs="Arial"/>
                <w:sz w:val="22"/>
                <w:szCs w:val="22"/>
              </w:rPr>
              <w:t>N/A</w:t>
            </w:r>
          </w:p>
        </w:tc>
      </w:tr>
      <w:tr w:rsidR="009C284A" w:rsidRPr="007E7F81" w14:paraId="53470200" w14:textId="77777777" w:rsidTr="007E7F81">
        <w:tc>
          <w:tcPr>
            <w:tcW w:w="3690" w:type="dxa"/>
          </w:tcPr>
          <w:p w14:paraId="50DA0B54" w14:textId="32FFDF0F" w:rsidR="009C284A" w:rsidRPr="007E7F81" w:rsidRDefault="009C284A" w:rsidP="009C284A">
            <w:pPr>
              <w:rPr>
                <w:rFonts w:ascii="Arial" w:hAnsi="Arial" w:cs="Arial"/>
                <w:b/>
                <w:sz w:val="22"/>
                <w:szCs w:val="22"/>
              </w:rPr>
            </w:pPr>
            <w:proofErr w:type="spellStart"/>
            <w:r w:rsidRPr="007E7F81">
              <w:rPr>
                <w:rFonts w:ascii="Arial" w:hAnsi="Arial" w:cs="Arial"/>
                <w:b/>
                <w:sz w:val="22"/>
                <w:szCs w:val="22"/>
              </w:rPr>
              <w:t>Otezla</w:t>
            </w:r>
            <w:proofErr w:type="spellEnd"/>
            <w:r w:rsidRPr="007E7F81">
              <w:rPr>
                <w:rFonts w:ascii="Arial" w:hAnsi="Arial" w:cs="Arial"/>
                <w:b/>
                <w:sz w:val="22"/>
                <w:szCs w:val="22"/>
              </w:rPr>
              <w:t>® (</w:t>
            </w:r>
            <w:proofErr w:type="spellStart"/>
            <w:r w:rsidRPr="007E7F81">
              <w:rPr>
                <w:rFonts w:ascii="Arial" w:hAnsi="Arial" w:cs="Arial"/>
                <w:b/>
                <w:sz w:val="22"/>
                <w:szCs w:val="22"/>
              </w:rPr>
              <w:t>apremilast</w:t>
            </w:r>
            <w:proofErr w:type="spellEnd"/>
            <w:r w:rsidRPr="007E7F81">
              <w:rPr>
                <w:rFonts w:ascii="Arial" w:hAnsi="Arial" w:cs="Arial"/>
                <w:b/>
                <w:sz w:val="22"/>
                <w:szCs w:val="22"/>
              </w:rPr>
              <w:t>)</w:t>
            </w:r>
          </w:p>
        </w:tc>
        <w:tc>
          <w:tcPr>
            <w:tcW w:w="5580" w:type="dxa"/>
          </w:tcPr>
          <w:p w14:paraId="6460C6B2" w14:textId="62AF2F26" w:rsidR="009C284A" w:rsidRPr="007E7F81" w:rsidRDefault="009C284A" w:rsidP="003D7F23">
            <w:pPr>
              <w:pStyle w:val="ListParagraph"/>
              <w:numPr>
                <w:ilvl w:val="0"/>
                <w:numId w:val="3"/>
              </w:numPr>
              <w:rPr>
                <w:rFonts w:ascii="Arial" w:hAnsi="Arial" w:cs="Arial"/>
                <w:sz w:val="22"/>
                <w:szCs w:val="22"/>
              </w:rPr>
            </w:pPr>
            <w:r w:rsidRPr="007E7F81">
              <w:rPr>
                <w:rFonts w:ascii="Arial" w:hAnsi="Arial" w:cs="Arial"/>
                <w:sz w:val="22"/>
                <w:szCs w:val="22"/>
              </w:rPr>
              <w:t xml:space="preserve">Remove from Medicaid Formulary: Non-Formulary, Specialty, Prior Authorization, Quantity Limit (2 tablets per day) </w:t>
            </w:r>
            <w:r w:rsidRPr="007E7F81">
              <w:rPr>
                <w:rFonts w:ascii="Arial" w:hAnsi="Arial" w:cs="Arial"/>
                <w:color w:val="FF0000"/>
                <w:sz w:val="22"/>
                <w:szCs w:val="22"/>
              </w:rPr>
              <w:t>Effec</w:t>
            </w:r>
            <w:bookmarkStart w:id="0" w:name="_GoBack"/>
            <w:bookmarkEnd w:id="0"/>
            <w:r w:rsidRPr="007E7F81">
              <w:rPr>
                <w:rFonts w:ascii="Arial" w:hAnsi="Arial" w:cs="Arial"/>
                <w:color w:val="FF0000"/>
                <w:sz w:val="22"/>
                <w:szCs w:val="22"/>
              </w:rPr>
              <w:t>tive 5/1/2021</w:t>
            </w:r>
          </w:p>
        </w:tc>
        <w:tc>
          <w:tcPr>
            <w:tcW w:w="3510" w:type="dxa"/>
          </w:tcPr>
          <w:p w14:paraId="6FB37972" w14:textId="2A8AAE19" w:rsidR="009C284A" w:rsidRPr="007E7F81" w:rsidRDefault="009C284A" w:rsidP="009C284A">
            <w:pPr>
              <w:rPr>
                <w:rFonts w:ascii="Arial" w:hAnsi="Arial" w:cs="Arial"/>
                <w:color w:val="000000"/>
                <w:sz w:val="22"/>
                <w:szCs w:val="22"/>
              </w:rPr>
            </w:pPr>
            <w:r w:rsidRPr="007E7F81">
              <w:rPr>
                <w:rFonts w:ascii="Arial" w:hAnsi="Arial" w:cs="Arial"/>
                <w:sz w:val="22"/>
                <w:szCs w:val="22"/>
              </w:rPr>
              <w:t>Therapeutic Immunomodulators - Medicaid</w:t>
            </w:r>
          </w:p>
        </w:tc>
      </w:tr>
      <w:tr w:rsidR="009C284A" w:rsidRPr="007E7F81" w14:paraId="7160C309" w14:textId="77777777" w:rsidTr="007E7F81">
        <w:tc>
          <w:tcPr>
            <w:tcW w:w="3690" w:type="dxa"/>
          </w:tcPr>
          <w:p w14:paraId="66248FF1" w14:textId="00DB3406" w:rsidR="009C284A" w:rsidRPr="007E7F81" w:rsidRDefault="009C284A" w:rsidP="009C284A">
            <w:pPr>
              <w:rPr>
                <w:rFonts w:ascii="Arial" w:hAnsi="Arial" w:cs="Arial"/>
                <w:b/>
                <w:sz w:val="22"/>
                <w:szCs w:val="22"/>
              </w:rPr>
            </w:pPr>
            <w:proofErr w:type="spellStart"/>
            <w:r w:rsidRPr="007E7F81">
              <w:rPr>
                <w:rFonts w:ascii="Arial" w:hAnsi="Arial" w:cs="Arial"/>
                <w:b/>
                <w:sz w:val="22"/>
                <w:szCs w:val="22"/>
              </w:rPr>
              <w:t>Pregabalin</w:t>
            </w:r>
            <w:proofErr w:type="spellEnd"/>
            <w:r w:rsidRPr="007E7F81">
              <w:rPr>
                <w:rFonts w:ascii="Arial" w:hAnsi="Arial" w:cs="Arial"/>
                <w:b/>
                <w:sz w:val="22"/>
                <w:szCs w:val="22"/>
              </w:rPr>
              <w:t xml:space="preserve"> (Lyrica®) Capsules</w:t>
            </w:r>
          </w:p>
        </w:tc>
        <w:tc>
          <w:tcPr>
            <w:tcW w:w="5580" w:type="dxa"/>
          </w:tcPr>
          <w:p w14:paraId="42073F4C" w14:textId="2384C8C5" w:rsidR="009C284A" w:rsidRPr="007E7F81" w:rsidRDefault="009C284A" w:rsidP="009C284A">
            <w:pPr>
              <w:rPr>
                <w:rFonts w:ascii="Arial" w:hAnsi="Arial" w:cs="Arial"/>
                <w:sz w:val="22"/>
                <w:szCs w:val="22"/>
              </w:rPr>
            </w:pPr>
            <w:r w:rsidRPr="007E7F81">
              <w:rPr>
                <w:rFonts w:ascii="Arial" w:hAnsi="Arial" w:cs="Arial"/>
                <w:sz w:val="22"/>
                <w:szCs w:val="22"/>
              </w:rPr>
              <w:t>Remove Quantity Limits for Medicaid</w:t>
            </w:r>
          </w:p>
          <w:p w14:paraId="23CDD95F" w14:textId="3FF3D904" w:rsidR="009C284A" w:rsidRPr="007E7F81" w:rsidRDefault="009C284A" w:rsidP="003D7F23">
            <w:pPr>
              <w:pStyle w:val="ListParagraph"/>
              <w:numPr>
                <w:ilvl w:val="0"/>
                <w:numId w:val="3"/>
              </w:numPr>
              <w:rPr>
                <w:rFonts w:ascii="Arial" w:hAnsi="Arial" w:cs="Arial"/>
                <w:sz w:val="22"/>
                <w:szCs w:val="22"/>
              </w:rPr>
            </w:pPr>
            <w:r w:rsidRPr="007E7F81">
              <w:rPr>
                <w:rFonts w:ascii="Arial" w:hAnsi="Arial" w:cs="Arial"/>
                <w:sz w:val="22"/>
                <w:szCs w:val="22"/>
              </w:rPr>
              <w:t>Medicaid: Formulary</w:t>
            </w:r>
          </w:p>
        </w:tc>
        <w:tc>
          <w:tcPr>
            <w:tcW w:w="3510" w:type="dxa"/>
          </w:tcPr>
          <w:p w14:paraId="2B18CC42" w14:textId="12CE35E3" w:rsidR="009C284A" w:rsidRPr="007E7F81" w:rsidRDefault="009C284A" w:rsidP="009C284A">
            <w:pPr>
              <w:rPr>
                <w:rFonts w:ascii="Arial" w:hAnsi="Arial" w:cs="Arial"/>
                <w:sz w:val="22"/>
                <w:szCs w:val="22"/>
              </w:rPr>
            </w:pPr>
            <w:r w:rsidRPr="007E7F81">
              <w:rPr>
                <w:rFonts w:ascii="Arial" w:hAnsi="Arial" w:cs="Arial"/>
                <w:sz w:val="22"/>
                <w:szCs w:val="22"/>
              </w:rPr>
              <w:t>N/A</w:t>
            </w:r>
          </w:p>
        </w:tc>
      </w:tr>
      <w:tr w:rsidR="009C284A" w:rsidRPr="007E7F81" w14:paraId="1C64D3A0" w14:textId="77777777" w:rsidTr="007E7F81">
        <w:tc>
          <w:tcPr>
            <w:tcW w:w="3690" w:type="dxa"/>
          </w:tcPr>
          <w:p w14:paraId="28271FEA" w14:textId="7719BEAF" w:rsidR="009C284A" w:rsidRPr="007E7F81" w:rsidRDefault="009C284A" w:rsidP="009C284A">
            <w:pPr>
              <w:rPr>
                <w:rFonts w:ascii="Arial" w:hAnsi="Arial" w:cs="Arial"/>
                <w:b/>
                <w:sz w:val="22"/>
                <w:szCs w:val="22"/>
              </w:rPr>
            </w:pPr>
            <w:proofErr w:type="spellStart"/>
            <w:r w:rsidRPr="007E7F81">
              <w:rPr>
                <w:rFonts w:ascii="Arial" w:hAnsi="Arial" w:cs="Arial"/>
                <w:b/>
                <w:sz w:val="22"/>
                <w:szCs w:val="22"/>
              </w:rPr>
              <w:t>Qdolo</w:t>
            </w:r>
            <w:proofErr w:type="spellEnd"/>
            <w:r w:rsidRPr="007E7F81">
              <w:rPr>
                <w:rFonts w:ascii="Arial" w:hAnsi="Arial" w:cs="Arial"/>
                <w:b/>
                <w:sz w:val="22"/>
                <w:szCs w:val="22"/>
              </w:rPr>
              <w:t>® (tramadol) 5 mg/mL Oral Solution</w:t>
            </w:r>
          </w:p>
        </w:tc>
        <w:tc>
          <w:tcPr>
            <w:tcW w:w="5580" w:type="dxa"/>
          </w:tcPr>
          <w:p w14:paraId="10C70DC5" w14:textId="77777777" w:rsidR="009C284A" w:rsidRPr="007E7F81" w:rsidRDefault="009C284A" w:rsidP="009C284A">
            <w:pPr>
              <w:rPr>
                <w:rFonts w:ascii="Arial" w:hAnsi="Arial" w:cs="Arial"/>
                <w:sz w:val="22"/>
                <w:szCs w:val="22"/>
              </w:rPr>
            </w:pPr>
            <w:r w:rsidRPr="007E7F81">
              <w:rPr>
                <w:rFonts w:ascii="Arial" w:hAnsi="Arial" w:cs="Arial"/>
                <w:sz w:val="22"/>
                <w:szCs w:val="22"/>
              </w:rPr>
              <w:t xml:space="preserve">New Dosage Form: </w:t>
            </w:r>
          </w:p>
          <w:p w14:paraId="1E325221" w14:textId="7C42F0E7" w:rsidR="009C284A" w:rsidRPr="007E7F81" w:rsidRDefault="009C284A" w:rsidP="003D7F23">
            <w:pPr>
              <w:numPr>
                <w:ilvl w:val="0"/>
                <w:numId w:val="7"/>
              </w:numPr>
              <w:contextualSpacing/>
              <w:rPr>
                <w:rFonts w:ascii="Arial" w:hAnsi="Arial" w:cs="Arial"/>
                <w:sz w:val="22"/>
                <w:szCs w:val="22"/>
              </w:rPr>
            </w:pPr>
            <w:r w:rsidRPr="007E7F81">
              <w:rPr>
                <w:rFonts w:ascii="Arial" w:hAnsi="Arial" w:cs="Arial"/>
                <w:sz w:val="22"/>
                <w:szCs w:val="22"/>
              </w:rPr>
              <w:t>Non-Formulary, Prior Authorization, Quantity Limit 80 mL/day</w:t>
            </w:r>
          </w:p>
        </w:tc>
        <w:tc>
          <w:tcPr>
            <w:tcW w:w="3510" w:type="dxa"/>
          </w:tcPr>
          <w:p w14:paraId="0B8585A5" w14:textId="79F351DD" w:rsidR="009C284A" w:rsidRPr="007E7F81" w:rsidRDefault="009C284A" w:rsidP="009C284A">
            <w:pPr>
              <w:contextualSpacing/>
              <w:rPr>
                <w:rFonts w:ascii="Arial" w:hAnsi="Arial" w:cs="Arial"/>
                <w:sz w:val="22"/>
                <w:szCs w:val="22"/>
              </w:rPr>
            </w:pPr>
            <w:r w:rsidRPr="007E7F81">
              <w:rPr>
                <w:rFonts w:ascii="Arial" w:hAnsi="Arial" w:cs="Arial"/>
                <w:sz w:val="22"/>
                <w:szCs w:val="22"/>
              </w:rPr>
              <w:t>Pediatric Analgesics</w:t>
            </w:r>
          </w:p>
        </w:tc>
      </w:tr>
      <w:tr w:rsidR="009C284A" w:rsidRPr="007E7F81" w14:paraId="1C1972BB" w14:textId="77777777" w:rsidTr="007E7F81">
        <w:tc>
          <w:tcPr>
            <w:tcW w:w="3690" w:type="dxa"/>
          </w:tcPr>
          <w:p w14:paraId="6A3724C4" w14:textId="174F45E5" w:rsidR="009C284A" w:rsidRPr="007E7F81" w:rsidRDefault="009C284A" w:rsidP="009C284A">
            <w:pPr>
              <w:rPr>
                <w:rFonts w:ascii="Arial" w:hAnsi="Arial" w:cs="Arial"/>
                <w:b/>
                <w:sz w:val="22"/>
                <w:szCs w:val="22"/>
              </w:rPr>
            </w:pPr>
            <w:r w:rsidRPr="007E7F81">
              <w:rPr>
                <w:rFonts w:ascii="Arial" w:hAnsi="Arial" w:cs="Arial"/>
                <w:b/>
                <w:sz w:val="22"/>
                <w:szCs w:val="22"/>
              </w:rPr>
              <w:t>Simvastatin 40 and 80 mg Tablets</w:t>
            </w:r>
          </w:p>
        </w:tc>
        <w:tc>
          <w:tcPr>
            <w:tcW w:w="5580" w:type="dxa"/>
          </w:tcPr>
          <w:p w14:paraId="47E965CA" w14:textId="2E2C68F1" w:rsidR="009C284A" w:rsidRPr="007E7F81" w:rsidRDefault="009C284A" w:rsidP="009C284A">
            <w:pPr>
              <w:rPr>
                <w:rFonts w:ascii="Arial" w:hAnsi="Arial" w:cs="Arial"/>
                <w:sz w:val="22"/>
                <w:szCs w:val="22"/>
              </w:rPr>
            </w:pPr>
            <w:r w:rsidRPr="007E7F81">
              <w:rPr>
                <w:rFonts w:ascii="Arial" w:hAnsi="Arial" w:cs="Arial"/>
                <w:sz w:val="22"/>
                <w:szCs w:val="22"/>
              </w:rPr>
              <w:t>Remove Quantity Limits for Medicaid</w:t>
            </w:r>
          </w:p>
          <w:p w14:paraId="608A68FD" w14:textId="431DEDB0" w:rsidR="009C284A" w:rsidRPr="007E7F81" w:rsidRDefault="009C284A" w:rsidP="003D7F23">
            <w:pPr>
              <w:numPr>
                <w:ilvl w:val="0"/>
                <w:numId w:val="7"/>
              </w:numPr>
              <w:contextualSpacing/>
              <w:rPr>
                <w:rFonts w:ascii="Arial" w:hAnsi="Arial" w:cs="Arial"/>
                <w:sz w:val="22"/>
                <w:szCs w:val="22"/>
              </w:rPr>
            </w:pPr>
            <w:r w:rsidRPr="007E7F81">
              <w:rPr>
                <w:rFonts w:ascii="Arial" w:hAnsi="Arial" w:cs="Arial"/>
                <w:sz w:val="22"/>
                <w:szCs w:val="22"/>
              </w:rPr>
              <w:t>Medicaid: Formulary</w:t>
            </w:r>
          </w:p>
        </w:tc>
        <w:tc>
          <w:tcPr>
            <w:tcW w:w="3510" w:type="dxa"/>
          </w:tcPr>
          <w:p w14:paraId="38EAA06E" w14:textId="195B8BD5" w:rsidR="009C284A" w:rsidRPr="007E7F81" w:rsidRDefault="009C284A" w:rsidP="009C284A">
            <w:pPr>
              <w:rPr>
                <w:rFonts w:ascii="Arial" w:hAnsi="Arial" w:cs="Arial"/>
                <w:sz w:val="22"/>
                <w:szCs w:val="22"/>
              </w:rPr>
            </w:pPr>
            <w:r w:rsidRPr="007E7F81">
              <w:rPr>
                <w:rFonts w:ascii="Arial" w:hAnsi="Arial" w:cs="Arial"/>
                <w:sz w:val="22"/>
                <w:szCs w:val="22"/>
              </w:rPr>
              <w:t>N/A</w:t>
            </w:r>
          </w:p>
        </w:tc>
      </w:tr>
      <w:tr w:rsidR="009C284A" w:rsidRPr="007E7F81" w14:paraId="48B5DBE1" w14:textId="77777777" w:rsidTr="007E7F81">
        <w:tc>
          <w:tcPr>
            <w:tcW w:w="3690" w:type="dxa"/>
          </w:tcPr>
          <w:p w14:paraId="0E074909" w14:textId="73DDFAB7" w:rsidR="009C284A" w:rsidRPr="007E7F81" w:rsidRDefault="009C284A" w:rsidP="009C284A">
            <w:pPr>
              <w:rPr>
                <w:rFonts w:ascii="Arial" w:hAnsi="Arial" w:cs="Arial"/>
                <w:b/>
                <w:sz w:val="22"/>
                <w:szCs w:val="22"/>
              </w:rPr>
            </w:pPr>
            <w:proofErr w:type="spellStart"/>
            <w:r w:rsidRPr="007E7F81">
              <w:rPr>
                <w:rFonts w:ascii="Arial" w:hAnsi="Arial" w:cs="Arial"/>
                <w:b/>
                <w:sz w:val="22"/>
                <w:szCs w:val="22"/>
              </w:rPr>
              <w:lastRenderedPageBreak/>
              <w:t>Sutab</w:t>
            </w:r>
            <w:proofErr w:type="spellEnd"/>
            <w:r w:rsidRPr="007E7F81">
              <w:rPr>
                <w:rFonts w:ascii="Arial" w:hAnsi="Arial" w:cs="Arial"/>
                <w:b/>
                <w:sz w:val="22"/>
                <w:szCs w:val="22"/>
              </w:rPr>
              <w:t>® (sodium sulfate/potassium chloride/magnesium sulfate) Tablet</w:t>
            </w:r>
          </w:p>
        </w:tc>
        <w:tc>
          <w:tcPr>
            <w:tcW w:w="5580" w:type="dxa"/>
          </w:tcPr>
          <w:p w14:paraId="584C81AB" w14:textId="77777777" w:rsidR="009C284A" w:rsidRPr="007E7F81" w:rsidRDefault="009C284A" w:rsidP="009C284A">
            <w:pPr>
              <w:rPr>
                <w:rFonts w:ascii="Arial" w:hAnsi="Arial" w:cs="Arial"/>
                <w:sz w:val="22"/>
                <w:szCs w:val="22"/>
              </w:rPr>
            </w:pPr>
            <w:r w:rsidRPr="007E7F81">
              <w:rPr>
                <w:rFonts w:ascii="Arial" w:hAnsi="Arial" w:cs="Arial"/>
                <w:sz w:val="22"/>
                <w:szCs w:val="22"/>
              </w:rPr>
              <w:t xml:space="preserve">New Combination: </w:t>
            </w:r>
          </w:p>
          <w:p w14:paraId="4889A17B" w14:textId="15AEEE4D" w:rsidR="009C284A" w:rsidRPr="007E7F81" w:rsidRDefault="009C284A" w:rsidP="003D7F23">
            <w:pPr>
              <w:numPr>
                <w:ilvl w:val="0"/>
                <w:numId w:val="7"/>
              </w:numPr>
              <w:contextualSpacing/>
              <w:rPr>
                <w:rFonts w:ascii="Arial" w:hAnsi="Arial" w:cs="Arial"/>
                <w:sz w:val="22"/>
                <w:szCs w:val="22"/>
              </w:rPr>
            </w:pPr>
            <w:r w:rsidRPr="007E7F81">
              <w:rPr>
                <w:rFonts w:ascii="Arial" w:hAnsi="Arial" w:cs="Arial"/>
                <w:sz w:val="22"/>
                <w:szCs w:val="22"/>
              </w:rPr>
              <w:t>Medicaid: Formulary</w:t>
            </w:r>
          </w:p>
        </w:tc>
        <w:tc>
          <w:tcPr>
            <w:tcW w:w="3510" w:type="dxa"/>
          </w:tcPr>
          <w:p w14:paraId="6304C2E6" w14:textId="080F03B9" w:rsidR="009C284A" w:rsidRPr="007E7F81" w:rsidRDefault="009C284A" w:rsidP="009C284A">
            <w:pPr>
              <w:rPr>
                <w:rFonts w:ascii="Arial" w:hAnsi="Arial" w:cs="Arial"/>
                <w:sz w:val="22"/>
                <w:szCs w:val="22"/>
              </w:rPr>
            </w:pPr>
            <w:r w:rsidRPr="007E7F81">
              <w:rPr>
                <w:rFonts w:ascii="Arial" w:hAnsi="Arial" w:cs="Arial"/>
                <w:sz w:val="22"/>
                <w:szCs w:val="22"/>
              </w:rPr>
              <w:t>N/A</w:t>
            </w:r>
          </w:p>
        </w:tc>
      </w:tr>
      <w:tr w:rsidR="009C284A" w:rsidRPr="007E7F81" w14:paraId="0C5C3C56" w14:textId="77777777" w:rsidTr="007E7F81">
        <w:tc>
          <w:tcPr>
            <w:tcW w:w="3690" w:type="dxa"/>
          </w:tcPr>
          <w:p w14:paraId="73B67EAD" w14:textId="2FA67CE0" w:rsidR="009C284A" w:rsidRPr="007E7F81" w:rsidRDefault="009C284A" w:rsidP="009C284A">
            <w:pPr>
              <w:rPr>
                <w:rFonts w:ascii="Arial" w:hAnsi="Arial" w:cs="Arial"/>
                <w:b/>
                <w:sz w:val="22"/>
                <w:szCs w:val="22"/>
              </w:rPr>
            </w:pPr>
            <w:proofErr w:type="spellStart"/>
            <w:r w:rsidRPr="007E7F81">
              <w:rPr>
                <w:rFonts w:ascii="Arial" w:hAnsi="Arial" w:cs="Arial"/>
                <w:b/>
                <w:sz w:val="22"/>
                <w:szCs w:val="22"/>
              </w:rPr>
              <w:t>Tr</w:t>
            </w:r>
            <w:r w:rsidR="00260815">
              <w:rPr>
                <w:rFonts w:ascii="Arial" w:hAnsi="Arial" w:cs="Arial"/>
                <w:b/>
                <w:sz w:val="22"/>
                <w:szCs w:val="22"/>
              </w:rPr>
              <w:t>elstar</w:t>
            </w:r>
            <w:proofErr w:type="spellEnd"/>
            <w:r w:rsidR="00260815">
              <w:rPr>
                <w:rFonts w:ascii="Arial" w:hAnsi="Arial" w:cs="Arial"/>
                <w:b/>
                <w:sz w:val="22"/>
                <w:szCs w:val="22"/>
              </w:rPr>
              <w:t>® (</w:t>
            </w:r>
            <w:proofErr w:type="spellStart"/>
            <w:r w:rsidR="00260815">
              <w:rPr>
                <w:rFonts w:ascii="Arial" w:hAnsi="Arial" w:cs="Arial"/>
                <w:b/>
                <w:sz w:val="22"/>
                <w:szCs w:val="22"/>
              </w:rPr>
              <w:t>triptorelin</w:t>
            </w:r>
            <w:proofErr w:type="spellEnd"/>
            <w:r w:rsidR="00260815">
              <w:rPr>
                <w:rFonts w:ascii="Arial" w:hAnsi="Arial" w:cs="Arial"/>
                <w:b/>
                <w:sz w:val="22"/>
                <w:szCs w:val="22"/>
              </w:rPr>
              <w:t xml:space="preserve"> </w:t>
            </w:r>
            <w:proofErr w:type="spellStart"/>
            <w:r w:rsidR="00260815">
              <w:rPr>
                <w:rFonts w:ascii="Arial" w:hAnsi="Arial" w:cs="Arial"/>
                <w:b/>
                <w:sz w:val="22"/>
                <w:szCs w:val="22"/>
              </w:rPr>
              <w:t>pamoate</w:t>
            </w:r>
            <w:proofErr w:type="spellEnd"/>
            <w:r w:rsidR="00260815">
              <w:rPr>
                <w:rFonts w:ascii="Arial" w:hAnsi="Arial" w:cs="Arial"/>
                <w:b/>
                <w:sz w:val="22"/>
                <w:szCs w:val="22"/>
              </w:rPr>
              <w:t>) Vi</w:t>
            </w:r>
            <w:r w:rsidRPr="007E7F81">
              <w:rPr>
                <w:rFonts w:ascii="Arial" w:hAnsi="Arial" w:cs="Arial"/>
                <w:b/>
                <w:sz w:val="22"/>
                <w:szCs w:val="22"/>
              </w:rPr>
              <w:t>al</w:t>
            </w:r>
          </w:p>
        </w:tc>
        <w:tc>
          <w:tcPr>
            <w:tcW w:w="5580" w:type="dxa"/>
          </w:tcPr>
          <w:p w14:paraId="628EB823" w14:textId="0BD00F49" w:rsidR="009C284A" w:rsidRPr="007E7F81" w:rsidRDefault="009C284A" w:rsidP="009C284A">
            <w:pPr>
              <w:rPr>
                <w:rFonts w:ascii="Arial" w:hAnsi="Arial" w:cs="Arial"/>
                <w:sz w:val="22"/>
                <w:szCs w:val="22"/>
              </w:rPr>
            </w:pPr>
            <w:r w:rsidRPr="007E7F81">
              <w:rPr>
                <w:rFonts w:ascii="Arial" w:hAnsi="Arial" w:cs="Arial"/>
                <w:sz w:val="22"/>
                <w:szCs w:val="22"/>
              </w:rPr>
              <w:t xml:space="preserve">Add Prior Authorization for Medicaid: </w:t>
            </w:r>
          </w:p>
          <w:p w14:paraId="183B0F21" w14:textId="4A8ACEC4" w:rsidR="009C284A" w:rsidRPr="007E7F81" w:rsidRDefault="009C284A" w:rsidP="003D7F23">
            <w:pPr>
              <w:numPr>
                <w:ilvl w:val="0"/>
                <w:numId w:val="7"/>
              </w:numPr>
              <w:contextualSpacing/>
              <w:rPr>
                <w:rFonts w:ascii="Arial" w:hAnsi="Arial" w:cs="Arial"/>
                <w:sz w:val="22"/>
                <w:szCs w:val="22"/>
              </w:rPr>
            </w:pPr>
            <w:r w:rsidRPr="007E7F81">
              <w:rPr>
                <w:rFonts w:ascii="Arial" w:hAnsi="Arial" w:cs="Arial"/>
                <w:sz w:val="22"/>
                <w:szCs w:val="22"/>
              </w:rPr>
              <w:t>Medicaid: Medical Benefit, Prior Authorization</w:t>
            </w:r>
          </w:p>
          <w:p w14:paraId="3B269827" w14:textId="2CC0147F" w:rsidR="009C284A" w:rsidRPr="007E7F81" w:rsidRDefault="009C284A" w:rsidP="009C284A">
            <w:pPr>
              <w:contextualSpacing/>
              <w:rPr>
                <w:rFonts w:ascii="Arial" w:hAnsi="Arial" w:cs="Arial"/>
                <w:sz w:val="22"/>
                <w:szCs w:val="22"/>
              </w:rPr>
            </w:pPr>
            <w:r w:rsidRPr="007E7F81">
              <w:rPr>
                <w:rFonts w:ascii="Arial" w:hAnsi="Arial" w:cs="Arial"/>
                <w:color w:val="FF0000"/>
                <w:sz w:val="22"/>
                <w:szCs w:val="22"/>
              </w:rPr>
              <w:t>Effective 5/1/2021</w:t>
            </w:r>
          </w:p>
        </w:tc>
        <w:tc>
          <w:tcPr>
            <w:tcW w:w="3510" w:type="dxa"/>
          </w:tcPr>
          <w:p w14:paraId="52A7D9D2" w14:textId="09ECB11B" w:rsidR="009C284A" w:rsidRPr="007E7F81" w:rsidRDefault="009C284A" w:rsidP="009C284A">
            <w:pPr>
              <w:contextualSpacing/>
              <w:rPr>
                <w:rFonts w:ascii="Arial" w:hAnsi="Arial" w:cs="Arial"/>
                <w:sz w:val="22"/>
                <w:szCs w:val="22"/>
              </w:rPr>
            </w:pPr>
            <w:r w:rsidRPr="007E7F81">
              <w:rPr>
                <w:rFonts w:ascii="Arial" w:hAnsi="Arial" w:cs="Arial"/>
                <w:sz w:val="22"/>
                <w:szCs w:val="22"/>
              </w:rPr>
              <w:t>Gonadotropin Releasing Hormone Agonists</w:t>
            </w:r>
          </w:p>
        </w:tc>
      </w:tr>
    </w:tbl>
    <w:p w14:paraId="495E237D" w14:textId="77777777" w:rsidR="001A05A8" w:rsidRDefault="001A05A8" w:rsidP="002F5BB4">
      <w:pPr>
        <w:pStyle w:val="NoSpacing"/>
        <w:spacing w:after="200"/>
        <w:rPr>
          <w:rFonts w:ascii="Arial" w:hAnsi="Arial" w:cs="Arial"/>
          <w:b/>
          <w:color w:val="365F91" w:themeColor="accent1" w:themeShade="BF"/>
          <w:sz w:val="32"/>
          <w:szCs w:val="24"/>
        </w:rPr>
      </w:pPr>
    </w:p>
    <w:p w14:paraId="662A8BB0" w14:textId="4F676F8E" w:rsidR="00300CD3" w:rsidRPr="004A32C7" w:rsidRDefault="00300CD3" w:rsidP="00300CD3">
      <w:pPr>
        <w:pStyle w:val="NoSpacing"/>
        <w:spacing w:after="200"/>
        <w:rPr>
          <w:rFonts w:ascii="Arial" w:hAnsi="Arial" w:cs="Arial"/>
          <w:b/>
          <w:color w:val="365F91" w:themeColor="accent1" w:themeShade="BF"/>
          <w:sz w:val="32"/>
          <w:szCs w:val="24"/>
        </w:rPr>
      </w:pPr>
      <w:r w:rsidRPr="004A32C7">
        <w:rPr>
          <w:rFonts w:ascii="Arial" w:hAnsi="Arial" w:cs="Arial"/>
          <w:b/>
          <w:color w:val="365F91" w:themeColor="accent1" w:themeShade="BF"/>
          <w:sz w:val="32"/>
          <w:szCs w:val="24"/>
        </w:rPr>
        <w:t>Medical Policy Changes</w:t>
      </w:r>
    </w:p>
    <w:p w14:paraId="4FA9344D" w14:textId="17D77AAE" w:rsidR="00300CD3" w:rsidRDefault="00300CD3" w:rsidP="007A4F2D">
      <w:pPr>
        <w:pStyle w:val="NoSpacing"/>
        <w:spacing w:after="200"/>
        <w:rPr>
          <w:rFonts w:ascii="Arial" w:hAnsi="Arial" w:cs="Arial"/>
          <w:b/>
          <w:sz w:val="24"/>
          <w:szCs w:val="24"/>
          <w:u w:val="single"/>
        </w:rPr>
      </w:pPr>
      <w:r>
        <w:rPr>
          <w:rFonts w:ascii="Arial" w:hAnsi="Arial" w:cs="Arial"/>
          <w:b/>
          <w:sz w:val="24"/>
          <w:szCs w:val="24"/>
          <w:u w:val="single"/>
        </w:rPr>
        <w:t>Coverage Criteria Changes</w:t>
      </w:r>
    </w:p>
    <w:tbl>
      <w:tblPr>
        <w:tblStyle w:val="TableGrid"/>
        <w:tblW w:w="12978" w:type="dxa"/>
        <w:tblInd w:w="198" w:type="dxa"/>
        <w:tblLook w:val="04A0" w:firstRow="1" w:lastRow="0" w:firstColumn="1" w:lastColumn="0" w:noHBand="0" w:noVBand="1"/>
      </w:tblPr>
      <w:tblGrid>
        <w:gridCol w:w="2497"/>
        <w:gridCol w:w="2070"/>
        <w:gridCol w:w="8411"/>
      </w:tblGrid>
      <w:tr w:rsidR="002F64CF" w:rsidRPr="003A5BBA" w14:paraId="6A847E92" w14:textId="77777777" w:rsidTr="007E7F81">
        <w:trPr>
          <w:cantSplit/>
          <w:tblHeader/>
        </w:trPr>
        <w:tc>
          <w:tcPr>
            <w:tcW w:w="2497" w:type="dxa"/>
            <w:shd w:val="clear" w:color="auto" w:fill="DBE5F1" w:themeFill="accent1" w:themeFillTint="33"/>
            <w:vAlign w:val="center"/>
          </w:tcPr>
          <w:p w14:paraId="14E02CF7" w14:textId="77777777" w:rsidR="002F64CF" w:rsidRPr="003A5BBA" w:rsidRDefault="002F64CF" w:rsidP="003A5BBA">
            <w:pPr>
              <w:pStyle w:val="NoSpacing"/>
              <w:rPr>
                <w:rFonts w:ascii="Arial" w:hAnsi="Arial" w:cs="Arial"/>
                <w:b/>
                <w:sz w:val="24"/>
                <w:szCs w:val="24"/>
              </w:rPr>
            </w:pPr>
            <w:r w:rsidRPr="003A5BBA">
              <w:rPr>
                <w:rFonts w:ascii="Arial" w:hAnsi="Arial" w:cs="Arial"/>
                <w:b/>
                <w:sz w:val="24"/>
                <w:szCs w:val="24"/>
              </w:rPr>
              <w:t>Drug/Policy Name(s)</w:t>
            </w:r>
          </w:p>
        </w:tc>
        <w:tc>
          <w:tcPr>
            <w:tcW w:w="2070" w:type="dxa"/>
            <w:shd w:val="clear" w:color="auto" w:fill="DBE5F1" w:themeFill="accent1" w:themeFillTint="33"/>
            <w:vAlign w:val="center"/>
          </w:tcPr>
          <w:p w14:paraId="7729B081" w14:textId="77777777" w:rsidR="002F64CF" w:rsidRPr="003A5BBA" w:rsidRDefault="002F64CF" w:rsidP="00BC0AEB">
            <w:pPr>
              <w:pStyle w:val="NoSpacing"/>
              <w:rPr>
                <w:rFonts w:ascii="Arial" w:hAnsi="Arial" w:cs="Arial"/>
                <w:b/>
                <w:sz w:val="24"/>
                <w:szCs w:val="24"/>
              </w:rPr>
            </w:pPr>
            <w:r w:rsidRPr="003A5BBA">
              <w:rPr>
                <w:rFonts w:ascii="Arial" w:hAnsi="Arial" w:cs="Arial"/>
                <w:b/>
                <w:sz w:val="24"/>
                <w:szCs w:val="24"/>
              </w:rPr>
              <w:t>Plans Affected</w:t>
            </w:r>
          </w:p>
        </w:tc>
        <w:tc>
          <w:tcPr>
            <w:tcW w:w="8411" w:type="dxa"/>
            <w:shd w:val="clear" w:color="auto" w:fill="DBE5F1" w:themeFill="accent1" w:themeFillTint="33"/>
            <w:vAlign w:val="center"/>
          </w:tcPr>
          <w:p w14:paraId="15654E96" w14:textId="77777777" w:rsidR="002F64CF" w:rsidRPr="003A5BBA" w:rsidRDefault="002F64CF" w:rsidP="00BC0AEB">
            <w:pPr>
              <w:pStyle w:val="NoSpacing"/>
              <w:rPr>
                <w:rFonts w:ascii="Arial" w:hAnsi="Arial" w:cs="Arial"/>
                <w:b/>
                <w:sz w:val="24"/>
                <w:szCs w:val="24"/>
              </w:rPr>
            </w:pPr>
            <w:r w:rsidRPr="003A5BBA">
              <w:rPr>
                <w:rFonts w:ascii="Arial" w:hAnsi="Arial" w:cs="Arial"/>
                <w:b/>
                <w:sz w:val="24"/>
                <w:szCs w:val="24"/>
              </w:rPr>
              <w:t>Summary of Change</w:t>
            </w:r>
          </w:p>
        </w:tc>
      </w:tr>
      <w:tr w:rsidR="00E76334" w:rsidRPr="003A5BBA" w14:paraId="0707DA3B" w14:textId="77777777" w:rsidTr="007E7F81">
        <w:trPr>
          <w:cantSplit/>
        </w:trPr>
        <w:tc>
          <w:tcPr>
            <w:tcW w:w="2497" w:type="dxa"/>
            <w:vAlign w:val="center"/>
          </w:tcPr>
          <w:p w14:paraId="77F89C13" w14:textId="4B037135" w:rsidR="00E76334" w:rsidRPr="003A5BBA" w:rsidRDefault="00E76334" w:rsidP="00E76334">
            <w:pPr>
              <w:pStyle w:val="NoSpacing"/>
              <w:rPr>
                <w:rFonts w:ascii="Arial" w:hAnsi="Arial" w:cs="Arial"/>
                <w:b/>
                <w:sz w:val="24"/>
                <w:szCs w:val="24"/>
              </w:rPr>
            </w:pPr>
            <w:r w:rsidRPr="00E96DD3">
              <w:rPr>
                <w:rFonts w:ascii="Arial" w:hAnsi="Arial" w:cs="Arial"/>
                <w:b/>
                <w:lang w:eastAsia="bg-BG"/>
              </w:rPr>
              <w:t>Acute Hereditary Angioedema Therapy</w:t>
            </w:r>
          </w:p>
        </w:tc>
        <w:tc>
          <w:tcPr>
            <w:tcW w:w="2070" w:type="dxa"/>
            <w:vAlign w:val="center"/>
          </w:tcPr>
          <w:p w14:paraId="69CF00EB" w14:textId="77777777" w:rsidR="00E76334" w:rsidRPr="003A5BBA" w:rsidRDefault="007B210D" w:rsidP="00E76334">
            <w:pPr>
              <w:pStyle w:val="NoSpacing"/>
              <w:rPr>
                <w:rFonts w:ascii="MS Gothic" w:eastAsia="MS Gothic" w:hAnsi="MS Gothic" w:cs="Arial"/>
                <w:sz w:val="24"/>
                <w:szCs w:val="24"/>
              </w:rPr>
            </w:pPr>
            <w:sdt>
              <w:sdtPr>
                <w:rPr>
                  <w:rFonts w:ascii="Arial" w:hAnsi="Arial" w:cs="Arial"/>
                  <w:sz w:val="24"/>
                  <w:szCs w:val="24"/>
                </w:rPr>
                <w:id w:val="1004632350"/>
                <w14:checkbox>
                  <w14:checked w14:val="1"/>
                  <w14:checkedState w14:val="2612" w14:font="MS Gothic"/>
                  <w14:uncheckedState w14:val="2610" w14:font="MS Gothic"/>
                </w14:checkbox>
              </w:sdtPr>
              <w:sdtEndPr/>
              <w:sdtContent>
                <w:r w:rsidR="00E76334" w:rsidRPr="003A5BBA">
                  <w:rPr>
                    <w:rFonts w:ascii="MS Gothic" w:eastAsia="MS Gothic" w:hAnsi="MS Gothic" w:cs="Arial" w:hint="eastAsia"/>
                    <w:sz w:val="24"/>
                    <w:szCs w:val="24"/>
                  </w:rPr>
                  <w:t>☒</w:t>
                </w:r>
              </w:sdtContent>
            </w:sdt>
            <w:r w:rsidR="00E76334" w:rsidRPr="003A5BBA">
              <w:rPr>
                <w:rFonts w:ascii="Arial" w:hAnsi="Arial" w:cs="Arial"/>
                <w:sz w:val="24"/>
                <w:szCs w:val="24"/>
              </w:rPr>
              <w:t xml:space="preserve"> Medicaid</w:t>
            </w:r>
          </w:p>
        </w:tc>
        <w:tc>
          <w:tcPr>
            <w:tcW w:w="8411" w:type="dxa"/>
            <w:vAlign w:val="center"/>
          </w:tcPr>
          <w:p w14:paraId="45632178" w14:textId="5BDE341C" w:rsidR="00E76334" w:rsidRPr="003A5BBA" w:rsidRDefault="00E76334" w:rsidP="00E76334">
            <w:pPr>
              <w:spacing w:before="40" w:after="40"/>
              <w:rPr>
                <w:rFonts w:ascii="Arial" w:hAnsi="Arial" w:cs="Arial"/>
                <w:szCs w:val="24"/>
              </w:rPr>
            </w:pPr>
            <w:r w:rsidRPr="00E96DD3">
              <w:rPr>
                <w:rFonts w:ascii="Arial" w:hAnsi="Arial" w:cs="Arial"/>
                <w:sz w:val="22"/>
                <w:szCs w:val="22"/>
                <w:lang w:eastAsia="bg-BG"/>
              </w:rPr>
              <w:t xml:space="preserve">Generic </w:t>
            </w:r>
            <w:proofErr w:type="spellStart"/>
            <w:r w:rsidRPr="00E96DD3">
              <w:rPr>
                <w:rFonts w:ascii="Arial" w:hAnsi="Arial" w:cs="Arial"/>
                <w:sz w:val="22"/>
                <w:szCs w:val="22"/>
                <w:lang w:eastAsia="bg-BG"/>
              </w:rPr>
              <w:t>icat</w:t>
            </w:r>
            <w:r>
              <w:rPr>
                <w:rFonts w:ascii="Arial" w:hAnsi="Arial" w:cs="Arial"/>
                <w:sz w:val="22"/>
                <w:szCs w:val="22"/>
                <w:lang w:eastAsia="bg-BG"/>
              </w:rPr>
              <w:t>i</w:t>
            </w:r>
            <w:r w:rsidRPr="00E96DD3">
              <w:rPr>
                <w:rFonts w:ascii="Arial" w:hAnsi="Arial" w:cs="Arial"/>
                <w:sz w:val="22"/>
                <w:szCs w:val="22"/>
                <w:lang w:eastAsia="bg-BG"/>
              </w:rPr>
              <w:t>bant</w:t>
            </w:r>
            <w:proofErr w:type="spellEnd"/>
            <w:r w:rsidRPr="00E96DD3">
              <w:rPr>
                <w:rFonts w:ascii="Arial" w:hAnsi="Arial" w:cs="Arial"/>
                <w:sz w:val="22"/>
                <w:szCs w:val="22"/>
                <w:lang w:eastAsia="bg-BG"/>
              </w:rPr>
              <w:t xml:space="preserve"> was added as required prerequisite therapy for new starts</w:t>
            </w:r>
            <w:r>
              <w:rPr>
                <w:rFonts w:ascii="Arial" w:hAnsi="Arial" w:cs="Arial"/>
                <w:sz w:val="22"/>
                <w:szCs w:val="22"/>
                <w:lang w:eastAsia="bg-BG"/>
              </w:rPr>
              <w:t>; updated reauthorization criteria to better align with disease state</w:t>
            </w:r>
          </w:p>
        </w:tc>
      </w:tr>
      <w:tr w:rsidR="00E76334" w:rsidRPr="003A5BBA" w14:paraId="3E207809" w14:textId="77777777" w:rsidTr="007E7F81">
        <w:trPr>
          <w:cantSplit/>
        </w:trPr>
        <w:tc>
          <w:tcPr>
            <w:tcW w:w="2497" w:type="dxa"/>
            <w:vAlign w:val="center"/>
          </w:tcPr>
          <w:p w14:paraId="534BB08C" w14:textId="493107C0" w:rsidR="00E76334" w:rsidRPr="003A5BBA" w:rsidRDefault="00E76334" w:rsidP="00E76334">
            <w:pPr>
              <w:pStyle w:val="NoSpacing"/>
              <w:rPr>
                <w:rFonts w:ascii="Arial" w:hAnsi="Arial" w:cs="Arial"/>
                <w:b/>
                <w:sz w:val="24"/>
                <w:szCs w:val="24"/>
              </w:rPr>
            </w:pPr>
            <w:r w:rsidRPr="00472374">
              <w:rPr>
                <w:rFonts w:ascii="Arial" w:hAnsi="Arial" w:cs="Arial"/>
                <w:b/>
                <w:lang w:eastAsia="bg-BG"/>
              </w:rPr>
              <w:t>CAR-T</w:t>
            </w:r>
          </w:p>
        </w:tc>
        <w:tc>
          <w:tcPr>
            <w:tcW w:w="2070" w:type="dxa"/>
            <w:vAlign w:val="center"/>
          </w:tcPr>
          <w:p w14:paraId="1238A4DC" w14:textId="28984A66" w:rsidR="00E76334" w:rsidRPr="003A5BBA" w:rsidRDefault="007B210D" w:rsidP="00E76334">
            <w:pPr>
              <w:pStyle w:val="NoSpacing"/>
              <w:rPr>
                <w:rFonts w:ascii="MS Gothic" w:eastAsia="MS Gothic" w:hAnsi="MS Gothic" w:cs="Arial"/>
                <w:sz w:val="24"/>
                <w:szCs w:val="24"/>
              </w:rPr>
            </w:pPr>
            <w:sdt>
              <w:sdtPr>
                <w:rPr>
                  <w:rFonts w:ascii="Arial" w:hAnsi="Arial" w:cs="Arial"/>
                  <w:sz w:val="24"/>
                  <w:szCs w:val="24"/>
                </w:rPr>
                <w:id w:val="-1389258272"/>
                <w14:checkbox>
                  <w14:checked w14:val="1"/>
                  <w14:checkedState w14:val="2612" w14:font="MS Gothic"/>
                  <w14:uncheckedState w14:val="2610" w14:font="MS Gothic"/>
                </w14:checkbox>
              </w:sdtPr>
              <w:sdtEndPr/>
              <w:sdtContent>
                <w:r w:rsidR="00E76334">
                  <w:rPr>
                    <w:rFonts w:ascii="MS Gothic" w:eastAsia="MS Gothic" w:hAnsi="MS Gothic" w:cs="Arial" w:hint="eastAsia"/>
                    <w:sz w:val="24"/>
                    <w:szCs w:val="24"/>
                  </w:rPr>
                  <w:t>☒</w:t>
                </w:r>
              </w:sdtContent>
            </w:sdt>
            <w:r w:rsidR="00E76334" w:rsidRPr="003A5BBA">
              <w:rPr>
                <w:rFonts w:ascii="Arial" w:hAnsi="Arial" w:cs="Arial"/>
                <w:sz w:val="24"/>
                <w:szCs w:val="24"/>
              </w:rPr>
              <w:t xml:space="preserve"> Medicaid</w:t>
            </w:r>
          </w:p>
        </w:tc>
        <w:tc>
          <w:tcPr>
            <w:tcW w:w="8411" w:type="dxa"/>
            <w:vAlign w:val="center"/>
          </w:tcPr>
          <w:p w14:paraId="221942B2" w14:textId="767EDF9B" w:rsidR="00E76334" w:rsidRPr="003A5BBA" w:rsidRDefault="00E76334" w:rsidP="00E76334">
            <w:pPr>
              <w:pStyle w:val="NoSpacing"/>
              <w:rPr>
                <w:rFonts w:ascii="Arial" w:hAnsi="Arial" w:cs="Arial"/>
                <w:sz w:val="24"/>
                <w:szCs w:val="24"/>
              </w:rPr>
            </w:pPr>
            <w:r w:rsidRPr="00472374">
              <w:rPr>
                <w:rFonts w:ascii="Arial" w:hAnsi="Arial" w:cs="Arial"/>
                <w:lang w:eastAsia="bg-BG"/>
              </w:rPr>
              <w:t>Updated exclusion and indication-specific criteria to align with clinical trial inclusion/exclusion criteria, FDA label and National Comprehensive Cancer Network (NCCN) recommendations.</w:t>
            </w:r>
          </w:p>
        </w:tc>
      </w:tr>
      <w:tr w:rsidR="00E76334" w:rsidRPr="003A5BBA" w14:paraId="635C2027" w14:textId="77777777" w:rsidTr="007E7F81">
        <w:trPr>
          <w:cantSplit/>
        </w:trPr>
        <w:tc>
          <w:tcPr>
            <w:tcW w:w="2497" w:type="dxa"/>
            <w:vAlign w:val="center"/>
          </w:tcPr>
          <w:p w14:paraId="7EA9D525" w14:textId="08B6BDD8" w:rsidR="00E76334" w:rsidRPr="003A5BBA" w:rsidRDefault="00E76334" w:rsidP="00E76334">
            <w:pPr>
              <w:pStyle w:val="NoSpacing"/>
              <w:rPr>
                <w:rFonts w:ascii="Arial" w:hAnsi="Arial" w:cs="Arial"/>
                <w:b/>
                <w:sz w:val="24"/>
                <w:szCs w:val="24"/>
              </w:rPr>
            </w:pPr>
            <w:r w:rsidRPr="00472374">
              <w:rPr>
                <w:rFonts w:ascii="Arial" w:hAnsi="Arial" w:cs="Arial"/>
                <w:b/>
                <w:lang w:val="bg-BG" w:eastAsia="bg-BG"/>
              </w:rPr>
              <w:t>Hepatitis C - Direct Acting Antivirals - Medicaid</w:t>
            </w:r>
          </w:p>
        </w:tc>
        <w:tc>
          <w:tcPr>
            <w:tcW w:w="2070" w:type="dxa"/>
            <w:vAlign w:val="center"/>
          </w:tcPr>
          <w:p w14:paraId="72D81F34" w14:textId="069E3332" w:rsidR="00E76334" w:rsidRPr="003A5BBA" w:rsidRDefault="007B210D" w:rsidP="00E76334">
            <w:pPr>
              <w:pStyle w:val="NoSpacing"/>
              <w:rPr>
                <w:rFonts w:ascii="MS Gothic" w:eastAsia="MS Gothic" w:hAnsi="MS Gothic" w:cs="Arial"/>
                <w:sz w:val="24"/>
                <w:szCs w:val="24"/>
              </w:rPr>
            </w:pPr>
            <w:sdt>
              <w:sdtPr>
                <w:rPr>
                  <w:rFonts w:ascii="Arial" w:hAnsi="Arial" w:cs="Arial"/>
                  <w:sz w:val="24"/>
                  <w:szCs w:val="24"/>
                </w:rPr>
                <w:id w:val="1454986190"/>
                <w14:checkbox>
                  <w14:checked w14:val="1"/>
                  <w14:checkedState w14:val="2612" w14:font="MS Gothic"/>
                  <w14:uncheckedState w14:val="2610" w14:font="MS Gothic"/>
                </w14:checkbox>
              </w:sdtPr>
              <w:sdtEndPr/>
              <w:sdtContent>
                <w:r w:rsidR="00E76334" w:rsidRPr="003A5BBA">
                  <w:rPr>
                    <w:rFonts w:ascii="MS Gothic" w:eastAsia="MS Gothic" w:hAnsi="MS Gothic" w:cs="Arial" w:hint="eastAsia"/>
                    <w:sz w:val="24"/>
                    <w:szCs w:val="24"/>
                  </w:rPr>
                  <w:t>☒</w:t>
                </w:r>
              </w:sdtContent>
            </w:sdt>
            <w:r w:rsidR="00E76334" w:rsidRPr="003A5BBA">
              <w:rPr>
                <w:rFonts w:ascii="Arial" w:hAnsi="Arial" w:cs="Arial"/>
                <w:sz w:val="24"/>
                <w:szCs w:val="24"/>
              </w:rPr>
              <w:t xml:space="preserve"> Medicaid</w:t>
            </w:r>
          </w:p>
        </w:tc>
        <w:tc>
          <w:tcPr>
            <w:tcW w:w="8411" w:type="dxa"/>
            <w:vAlign w:val="center"/>
          </w:tcPr>
          <w:p w14:paraId="68320E51" w14:textId="6C39E6F0" w:rsidR="00E76334" w:rsidRPr="003A5BBA" w:rsidRDefault="00E76334" w:rsidP="00E76334">
            <w:pPr>
              <w:pStyle w:val="NoSpacing"/>
              <w:rPr>
                <w:rFonts w:ascii="Arial" w:hAnsi="Arial" w:cs="Arial"/>
                <w:sz w:val="24"/>
                <w:szCs w:val="24"/>
              </w:rPr>
            </w:pPr>
            <w:r w:rsidRPr="00472374">
              <w:rPr>
                <w:rFonts w:ascii="Arial" w:hAnsi="Arial" w:cs="Arial"/>
                <w:lang w:val="bg-BG" w:eastAsia="bg-BG"/>
              </w:rPr>
              <w:t>Add Epclusa® 200-50 MG Tablet to Medicaid Formulary, Specialty, Prior Authorization to align with OHA</w:t>
            </w:r>
          </w:p>
        </w:tc>
      </w:tr>
      <w:tr w:rsidR="00E76334" w:rsidRPr="003A5BBA" w14:paraId="78ACAEF0" w14:textId="77777777" w:rsidTr="007E7F81">
        <w:trPr>
          <w:cantSplit/>
        </w:trPr>
        <w:tc>
          <w:tcPr>
            <w:tcW w:w="2497" w:type="dxa"/>
            <w:vAlign w:val="center"/>
          </w:tcPr>
          <w:p w14:paraId="604A5321" w14:textId="6D8739B0" w:rsidR="00E76334" w:rsidRPr="003A5BBA" w:rsidRDefault="00E76334" w:rsidP="00E76334">
            <w:pPr>
              <w:pStyle w:val="NoSpacing"/>
              <w:rPr>
                <w:rFonts w:ascii="Arial" w:hAnsi="Arial" w:cs="Arial"/>
                <w:b/>
                <w:sz w:val="24"/>
                <w:szCs w:val="24"/>
              </w:rPr>
            </w:pPr>
            <w:r w:rsidRPr="00472374">
              <w:rPr>
                <w:rFonts w:ascii="Arial" w:hAnsi="Arial" w:cs="Arial"/>
                <w:b/>
                <w:lang w:eastAsia="bg-BG"/>
              </w:rPr>
              <w:t>Injectable Anti-Cancer Medications</w:t>
            </w:r>
          </w:p>
        </w:tc>
        <w:tc>
          <w:tcPr>
            <w:tcW w:w="2070" w:type="dxa"/>
            <w:vAlign w:val="center"/>
          </w:tcPr>
          <w:p w14:paraId="7E589ECD" w14:textId="77777777" w:rsidR="00E76334" w:rsidRPr="003A5BBA" w:rsidRDefault="007B210D" w:rsidP="00E76334">
            <w:pPr>
              <w:pStyle w:val="NoSpacing"/>
              <w:rPr>
                <w:rFonts w:ascii="MS Gothic" w:eastAsia="MS Gothic" w:hAnsi="MS Gothic" w:cs="Arial"/>
                <w:sz w:val="24"/>
                <w:szCs w:val="24"/>
              </w:rPr>
            </w:pPr>
            <w:sdt>
              <w:sdtPr>
                <w:rPr>
                  <w:rFonts w:ascii="Arial" w:hAnsi="Arial" w:cs="Arial"/>
                  <w:sz w:val="24"/>
                  <w:szCs w:val="24"/>
                </w:rPr>
                <w:id w:val="-159310970"/>
                <w14:checkbox>
                  <w14:checked w14:val="1"/>
                  <w14:checkedState w14:val="2612" w14:font="MS Gothic"/>
                  <w14:uncheckedState w14:val="2610" w14:font="MS Gothic"/>
                </w14:checkbox>
              </w:sdtPr>
              <w:sdtEndPr/>
              <w:sdtContent>
                <w:r w:rsidR="00E76334" w:rsidRPr="003A5BBA">
                  <w:rPr>
                    <w:rFonts w:ascii="MS Gothic" w:eastAsia="MS Gothic" w:hAnsi="MS Gothic" w:cs="Arial" w:hint="eastAsia"/>
                    <w:sz w:val="24"/>
                    <w:szCs w:val="24"/>
                  </w:rPr>
                  <w:t>☒</w:t>
                </w:r>
              </w:sdtContent>
            </w:sdt>
            <w:r w:rsidR="00E76334" w:rsidRPr="003A5BBA">
              <w:rPr>
                <w:rFonts w:ascii="Arial" w:hAnsi="Arial" w:cs="Arial"/>
                <w:sz w:val="24"/>
                <w:szCs w:val="24"/>
              </w:rPr>
              <w:t xml:space="preserve"> Medicaid</w:t>
            </w:r>
          </w:p>
        </w:tc>
        <w:tc>
          <w:tcPr>
            <w:tcW w:w="8411" w:type="dxa"/>
            <w:vAlign w:val="center"/>
          </w:tcPr>
          <w:p w14:paraId="28D118AF" w14:textId="12B6605F" w:rsidR="00E76334" w:rsidRPr="003A5BBA" w:rsidRDefault="00E76334" w:rsidP="00E76334">
            <w:pPr>
              <w:pStyle w:val="NoSpacing"/>
              <w:rPr>
                <w:rFonts w:ascii="Arial" w:hAnsi="Arial" w:cs="Arial"/>
                <w:sz w:val="24"/>
                <w:szCs w:val="24"/>
              </w:rPr>
            </w:pPr>
            <w:r w:rsidRPr="00472374">
              <w:rPr>
                <w:rFonts w:ascii="Arial" w:hAnsi="Arial" w:cs="Arial"/>
                <w:lang w:eastAsia="bg-BG"/>
              </w:rPr>
              <w:t xml:space="preserve">Updated authorization duration to until no longer eligible with the plan. Removed requirement for use of intravenous </w:t>
            </w:r>
            <w:proofErr w:type="spellStart"/>
            <w:r w:rsidRPr="00472374">
              <w:rPr>
                <w:rFonts w:ascii="Arial" w:hAnsi="Arial" w:cs="Arial"/>
                <w:lang w:eastAsia="bg-BG"/>
              </w:rPr>
              <w:t>trastuzumab</w:t>
            </w:r>
            <w:proofErr w:type="spellEnd"/>
            <w:r w:rsidRPr="00472374">
              <w:rPr>
                <w:rFonts w:ascii="Arial" w:hAnsi="Arial" w:cs="Arial"/>
                <w:lang w:eastAsia="bg-BG"/>
              </w:rPr>
              <w:t xml:space="preserve"> and </w:t>
            </w:r>
            <w:proofErr w:type="spellStart"/>
            <w:r w:rsidRPr="00472374">
              <w:rPr>
                <w:rFonts w:ascii="Arial" w:hAnsi="Arial" w:cs="Arial"/>
                <w:lang w:eastAsia="bg-BG"/>
              </w:rPr>
              <w:t>pertuzumab</w:t>
            </w:r>
            <w:proofErr w:type="spellEnd"/>
            <w:r w:rsidRPr="00472374">
              <w:rPr>
                <w:rFonts w:ascii="Arial" w:hAnsi="Arial" w:cs="Arial"/>
                <w:lang w:eastAsia="bg-BG"/>
              </w:rPr>
              <w:t xml:space="preserve"> prior to approval of </w:t>
            </w:r>
            <w:proofErr w:type="spellStart"/>
            <w:r w:rsidRPr="00472374">
              <w:rPr>
                <w:rFonts w:ascii="Arial" w:hAnsi="Arial" w:cs="Arial"/>
                <w:lang w:eastAsia="bg-BG"/>
              </w:rPr>
              <w:t>Phesgo</w:t>
            </w:r>
            <w:proofErr w:type="spellEnd"/>
            <w:r w:rsidRPr="00472374">
              <w:rPr>
                <w:rFonts w:ascii="Arial" w:hAnsi="Arial" w:cs="Arial"/>
                <w:lang w:eastAsia="bg-BG"/>
              </w:rPr>
              <w:t xml:space="preserve">® and/or Herceptin </w:t>
            </w:r>
            <w:proofErr w:type="spellStart"/>
            <w:r w:rsidRPr="00472374">
              <w:rPr>
                <w:rFonts w:ascii="Arial" w:hAnsi="Arial" w:cs="Arial"/>
                <w:lang w:eastAsia="bg-BG"/>
              </w:rPr>
              <w:t>Hylecta</w:t>
            </w:r>
            <w:proofErr w:type="spellEnd"/>
            <w:r w:rsidRPr="00472374">
              <w:rPr>
                <w:rFonts w:ascii="Arial" w:hAnsi="Arial" w:cs="Arial"/>
                <w:lang w:eastAsia="bg-BG"/>
              </w:rPr>
              <w:t>®. Minimal cost differences and possible future availability of home administration for these products.</w:t>
            </w:r>
          </w:p>
        </w:tc>
      </w:tr>
      <w:tr w:rsidR="00E76334" w:rsidRPr="003A5BBA" w14:paraId="358F6E2C" w14:textId="77777777" w:rsidTr="007E7F81">
        <w:trPr>
          <w:cantSplit/>
        </w:trPr>
        <w:tc>
          <w:tcPr>
            <w:tcW w:w="2497" w:type="dxa"/>
          </w:tcPr>
          <w:p w14:paraId="13C02454" w14:textId="2C091604" w:rsidR="00E76334" w:rsidRPr="003A5BBA" w:rsidRDefault="00E76334" w:rsidP="00E76334">
            <w:pPr>
              <w:pStyle w:val="NoSpacing"/>
              <w:rPr>
                <w:rFonts w:ascii="Arial" w:hAnsi="Arial" w:cs="Arial"/>
                <w:b/>
                <w:sz w:val="24"/>
                <w:szCs w:val="24"/>
              </w:rPr>
            </w:pPr>
            <w:r w:rsidRPr="00472374">
              <w:rPr>
                <w:rFonts w:ascii="Arial" w:hAnsi="Arial" w:cs="Arial"/>
                <w:b/>
                <w:lang w:eastAsia="bg-BG"/>
              </w:rPr>
              <w:t>Insomnia Agents - Medicaid</w:t>
            </w:r>
          </w:p>
        </w:tc>
        <w:tc>
          <w:tcPr>
            <w:tcW w:w="2070" w:type="dxa"/>
            <w:vAlign w:val="center"/>
          </w:tcPr>
          <w:p w14:paraId="6B94B75C" w14:textId="3CBC9D3E" w:rsidR="00E76334" w:rsidRPr="003A5BBA" w:rsidRDefault="007B210D" w:rsidP="00E76334">
            <w:pPr>
              <w:pStyle w:val="NoSpacing"/>
              <w:rPr>
                <w:rFonts w:ascii="MS Gothic" w:eastAsia="MS Gothic" w:hAnsi="MS Gothic" w:cs="Arial"/>
                <w:sz w:val="24"/>
                <w:szCs w:val="24"/>
              </w:rPr>
            </w:pPr>
            <w:sdt>
              <w:sdtPr>
                <w:rPr>
                  <w:rFonts w:ascii="Arial" w:hAnsi="Arial" w:cs="Arial"/>
                  <w:sz w:val="24"/>
                  <w:szCs w:val="24"/>
                </w:rPr>
                <w:id w:val="-590463863"/>
                <w14:checkbox>
                  <w14:checked w14:val="1"/>
                  <w14:checkedState w14:val="2612" w14:font="MS Gothic"/>
                  <w14:uncheckedState w14:val="2610" w14:font="MS Gothic"/>
                </w14:checkbox>
              </w:sdtPr>
              <w:sdtEndPr/>
              <w:sdtContent>
                <w:r w:rsidR="00E76334" w:rsidRPr="003A5BBA">
                  <w:rPr>
                    <w:rFonts w:ascii="MS Gothic" w:eastAsia="MS Gothic" w:hAnsi="MS Gothic" w:cs="Arial" w:hint="eastAsia"/>
                    <w:sz w:val="24"/>
                    <w:szCs w:val="24"/>
                  </w:rPr>
                  <w:t>☒</w:t>
                </w:r>
              </w:sdtContent>
            </w:sdt>
            <w:r w:rsidR="00E76334" w:rsidRPr="003A5BBA">
              <w:rPr>
                <w:rFonts w:ascii="Arial" w:hAnsi="Arial" w:cs="Arial"/>
                <w:sz w:val="24"/>
                <w:szCs w:val="24"/>
              </w:rPr>
              <w:t xml:space="preserve"> Medicaid</w:t>
            </w:r>
          </w:p>
        </w:tc>
        <w:tc>
          <w:tcPr>
            <w:tcW w:w="8411" w:type="dxa"/>
          </w:tcPr>
          <w:p w14:paraId="434B29CD" w14:textId="6AEE3E6A" w:rsidR="00E76334" w:rsidRPr="003A5BBA" w:rsidRDefault="00E76334" w:rsidP="00E76334">
            <w:pPr>
              <w:spacing w:before="40" w:after="40"/>
              <w:rPr>
                <w:rFonts w:ascii="Arial" w:hAnsi="Arial" w:cs="Arial"/>
                <w:szCs w:val="24"/>
              </w:rPr>
            </w:pPr>
            <w:r w:rsidRPr="00472374">
              <w:rPr>
                <w:rFonts w:ascii="Arial" w:hAnsi="Arial" w:cs="Arial"/>
                <w:sz w:val="22"/>
                <w:szCs w:val="22"/>
                <w:lang w:eastAsia="bg-BG"/>
              </w:rPr>
              <w:t>Updated policy criteria to require a trial and failure of preferred agents for all requests, added a trial of cognitive behavior therapy for new starts as recommended per the American Academy of Sleep Medicine guidelines, updated criteria to restrict use of sedatives to Medicaid funded conditions.</w:t>
            </w:r>
          </w:p>
        </w:tc>
      </w:tr>
      <w:tr w:rsidR="00E76334" w:rsidRPr="003A5BBA" w14:paraId="3670478F" w14:textId="77777777" w:rsidTr="007E7F81">
        <w:trPr>
          <w:cantSplit/>
        </w:trPr>
        <w:tc>
          <w:tcPr>
            <w:tcW w:w="2497" w:type="dxa"/>
            <w:vAlign w:val="center"/>
          </w:tcPr>
          <w:p w14:paraId="5A825983" w14:textId="1E8471E8" w:rsidR="00E76334" w:rsidRPr="003A5BBA" w:rsidRDefault="00E76334" w:rsidP="00E76334">
            <w:pPr>
              <w:pStyle w:val="NoSpacing"/>
              <w:rPr>
                <w:rFonts w:ascii="Arial" w:hAnsi="Arial" w:cs="Arial"/>
                <w:b/>
                <w:sz w:val="24"/>
                <w:szCs w:val="24"/>
              </w:rPr>
            </w:pPr>
            <w:r w:rsidRPr="003E2F3A">
              <w:rPr>
                <w:rFonts w:ascii="Arial" w:hAnsi="Arial" w:cs="Arial"/>
                <w:b/>
                <w:lang w:val="bg-BG" w:eastAsia="bg-BG"/>
              </w:rPr>
              <w:lastRenderedPageBreak/>
              <w:t>Lidocaine Patch</w:t>
            </w:r>
          </w:p>
        </w:tc>
        <w:tc>
          <w:tcPr>
            <w:tcW w:w="2070" w:type="dxa"/>
            <w:vAlign w:val="center"/>
          </w:tcPr>
          <w:p w14:paraId="7BC2D76C" w14:textId="77777777" w:rsidR="00E76334" w:rsidRPr="003A5BBA" w:rsidRDefault="007B210D" w:rsidP="00E76334">
            <w:pPr>
              <w:pStyle w:val="NoSpacing"/>
              <w:rPr>
                <w:rFonts w:ascii="MS Gothic" w:eastAsia="MS Gothic" w:hAnsi="MS Gothic" w:cs="Arial"/>
                <w:sz w:val="24"/>
                <w:szCs w:val="24"/>
              </w:rPr>
            </w:pPr>
            <w:sdt>
              <w:sdtPr>
                <w:rPr>
                  <w:rFonts w:ascii="Arial" w:hAnsi="Arial" w:cs="Arial"/>
                  <w:sz w:val="24"/>
                  <w:szCs w:val="24"/>
                </w:rPr>
                <w:id w:val="-565874926"/>
                <w14:checkbox>
                  <w14:checked w14:val="1"/>
                  <w14:checkedState w14:val="2612" w14:font="MS Gothic"/>
                  <w14:uncheckedState w14:val="2610" w14:font="MS Gothic"/>
                </w14:checkbox>
              </w:sdtPr>
              <w:sdtEndPr/>
              <w:sdtContent>
                <w:r w:rsidR="00E76334" w:rsidRPr="003A5BBA">
                  <w:rPr>
                    <w:rFonts w:ascii="MS Gothic" w:eastAsia="MS Gothic" w:hAnsi="MS Gothic" w:cs="Arial" w:hint="eastAsia"/>
                    <w:sz w:val="24"/>
                    <w:szCs w:val="24"/>
                  </w:rPr>
                  <w:t>☒</w:t>
                </w:r>
              </w:sdtContent>
            </w:sdt>
            <w:r w:rsidR="00E76334" w:rsidRPr="003A5BBA">
              <w:rPr>
                <w:rFonts w:ascii="Arial" w:hAnsi="Arial" w:cs="Arial"/>
                <w:sz w:val="24"/>
                <w:szCs w:val="24"/>
              </w:rPr>
              <w:t xml:space="preserve"> Medicaid</w:t>
            </w:r>
          </w:p>
        </w:tc>
        <w:tc>
          <w:tcPr>
            <w:tcW w:w="8411" w:type="dxa"/>
            <w:vAlign w:val="center"/>
          </w:tcPr>
          <w:p w14:paraId="7CCF43FD" w14:textId="5682FCD5" w:rsidR="00E76334" w:rsidRPr="003A5BBA" w:rsidRDefault="00E76334" w:rsidP="00E76334">
            <w:pPr>
              <w:pStyle w:val="NoSpacing"/>
              <w:rPr>
                <w:rFonts w:ascii="Arial" w:hAnsi="Arial" w:cs="Arial"/>
                <w:sz w:val="24"/>
                <w:szCs w:val="24"/>
              </w:rPr>
            </w:pPr>
            <w:r w:rsidRPr="003E2F3A">
              <w:rPr>
                <w:rFonts w:ascii="Arial" w:hAnsi="Arial" w:cs="Arial"/>
                <w:lang w:eastAsia="bg-BG"/>
              </w:rPr>
              <w:t>Based on drug utilization review, criteria were updated to allow coverage if the patient has a diagnosis of post-herpetic neuralgia, diabetic peripheral neuropathy, or neuropathic Pain</w:t>
            </w:r>
          </w:p>
        </w:tc>
      </w:tr>
      <w:tr w:rsidR="00E76334" w:rsidRPr="003A5BBA" w14:paraId="2ACADA2D" w14:textId="77777777" w:rsidTr="007E7F81">
        <w:trPr>
          <w:cantSplit/>
        </w:trPr>
        <w:tc>
          <w:tcPr>
            <w:tcW w:w="2497" w:type="dxa"/>
            <w:vAlign w:val="center"/>
          </w:tcPr>
          <w:p w14:paraId="0C75FC2A" w14:textId="14EBC799" w:rsidR="00E76334" w:rsidRPr="003A5BBA" w:rsidRDefault="00E76334" w:rsidP="00E76334">
            <w:pPr>
              <w:pStyle w:val="NoSpacing"/>
              <w:rPr>
                <w:rFonts w:ascii="Arial" w:hAnsi="Arial" w:cs="Arial"/>
                <w:b/>
                <w:sz w:val="24"/>
                <w:szCs w:val="24"/>
              </w:rPr>
            </w:pPr>
            <w:r w:rsidRPr="00472374">
              <w:rPr>
                <w:rFonts w:ascii="Arial" w:hAnsi="Arial" w:cs="Arial"/>
                <w:b/>
                <w:lang w:val="bg-BG" w:eastAsia="bg-BG"/>
              </w:rPr>
              <w:t>Non-Preferred Fumarate Products</w:t>
            </w:r>
          </w:p>
        </w:tc>
        <w:tc>
          <w:tcPr>
            <w:tcW w:w="2070" w:type="dxa"/>
            <w:vAlign w:val="center"/>
          </w:tcPr>
          <w:p w14:paraId="2A0D847F" w14:textId="159A2505" w:rsidR="00E76334" w:rsidRPr="003A5BBA" w:rsidRDefault="007B210D" w:rsidP="00E76334">
            <w:pPr>
              <w:pStyle w:val="NoSpacing"/>
              <w:rPr>
                <w:rFonts w:ascii="MS Gothic" w:eastAsia="MS Gothic" w:hAnsi="MS Gothic" w:cs="Arial"/>
                <w:sz w:val="24"/>
                <w:szCs w:val="24"/>
              </w:rPr>
            </w:pPr>
            <w:sdt>
              <w:sdtPr>
                <w:rPr>
                  <w:rFonts w:ascii="Arial" w:hAnsi="Arial" w:cs="Arial"/>
                  <w:sz w:val="24"/>
                  <w:szCs w:val="24"/>
                </w:rPr>
                <w:id w:val="-486094474"/>
                <w14:checkbox>
                  <w14:checked w14:val="1"/>
                  <w14:checkedState w14:val="2612" w14:font="MS Gothic"/>
                  <w14:uncheckedState w14:val="2610" w14:font="MS Gothic"/>
                </w14:checkbox>
              </w:sdtPr>
              <w:sdtEndPr/>
              <w:sdtContent>
                <w:r w:rsidR="00E76334">
                  <w:rPr>
                    <w:rFonts w:ascii="MS Gothic" w:eastAsia="MS Gothic" w:hAnsi="MS Gothic" w:cs="Arial" w:hint="eastAsia"/>
                    <w:sz w:val="24"/>
                    <w:szCs w:val="24"/>
                  </w:rPr>
                  <w:t>☒</w:t>
                </w:r>
              </w:sdtContent>
            </w:sdt>
            <w:r w:rsidR="00E76334" w:rsidRPr="003A5BBA">
              <w:rPr>
                <w:rFonts w:ascii="Arial" w:hAnsi="Arial" w:cs="Arial"/>
                <w:sz w:val="24"/>
                <w:szCs w:val="24"/>
              </w:rPr>
              <w:t xml:space="preserve"> Medicaid</w:t>
            </w:r>
          </w:p>
        </w:tc>
        <w:tc>
          <w:tcPr>
            <w:tcW w:w="8411" w:type="dxa"/>
            <w:vAlign w:val="center"/>
          </w:tcPr>
          <w:p w14:paraId="63A0CC4F" w14:textId="7A5E54F6" w:rsidR="00E76334" w:rsidRPr="003A5BBA" w:rsidRDefault="00E76334" w:rsidP="000B35D5">
            <w:pPr>
              <w:spacing w:before="40" w:after="40"/>
              <w:rPr>
                <w:rFonts w:ascii="Arial" w:hAnsi="Arial" w:cs="Arial"/>
                <w:szCs w:val="24"/>
              </w:rPr>
            </w:pPr>
            <w:r w:rsidRPr="00472374">
              <w:rPr>
                <w:rFonts w:ascii="Arial" w:hAnsi="Arial" w:cs="Arial"/>
                <w:sz w:val="22"/>
                <w:szCs w:val="22"/>
                <w:lang w:eastAsia="bg-BG"/>
              </w:rPr>
              <w:t xml:space="preserve">Added Medicaid to policy, requiring </w:t>
            </w:r>
            <w:proofErr w:type="spellStart"/>
            <w:r w:rsidRPr="00472374">
              <w:rPr>
                <w:rFonts w:ascii="Arial" w:hAnsi="Arial" w:cs="Arial"/>
                <w:sz w:val="22"/>
                <w:szCs w:val="22"/>
                <w:lang w:eastAsia="bg-BG"/>
              </w:rPr>
              <w:t>Vumerity</w:t>
            </w:r>
            <w:proofErr w:type="spellEnd"/>
            <w:r w:rsidRPr="00472374">
              <w:rPr>
                <w:rFonts w:ascii="Arial" w:hAnsi="Arial" w:cs="Arial"/>
                <w:sz w:val="22"/>
                <w:szCs w:val="22"/>
                <w:lang w:eastAsia="bg-BG"/>
              </w:rPr>
              <w:t xml:space="preserve">® and </w:t>
            </w:r>
            <w:proofErr w:type="spellStart"/>
            <w:r w:rsidRPr="00472374">
              <w:rPr>
                <w:rFonts w:ascii="Arial" w:hAnsi="Arial" w:cs="Arial"/>
                <w:sz w:val="22"/>
                <w:szCs w:val="22"/>
                <w:lang w:eastAsia="bg-BG"/>
              </w:rPr>
              <w:t>Bafiertam</w:t>
            </w:r>
            <w:proofErr w:type="spellEnd"/>
            <w:r w:rsidRPr="00472374">
              <w:rPr>
                <w:rFonts w:ascii="Arial" w:hAnsi="Arial" w:cs="Arial"/>
                <w:sz w:val="22"/>
                <w:szCs w:val="22"/>
                <w:lang w:eastAsia="bg-BG"/>
              </w:rPr>
              <w:t>® to step through generic dimethyl fumarate (</w:t>
            </w:r>
            <w:proofErr w:type="spellStart"/>
            <w:r w:rsidRPr="00472374">
              <w:rPr>
                <w:rFonts w:ascii="Arial" w:hAnsi="Arial" w:cs="Arial"/>
                <w:sz w:val="22"/>
                <w:szCs w:val="22"/>
                <w:lang w:eastAsia="bg-BG"/>
              </w:rPr>
              <w:t>Tecfidera</w:t>
            </w:r>
            <w:proofErr w:type="spellEnd"/>
            <w:r w:rsidRPr="00472374">
              <w:rPr>
                <w:rFonts w:ascii="Arial" w:hAnsi="Arial" w:cs="Arial"/>
                <w:sz w:val="22"/>
                <w:szCs w:val="22"/>
                <w:lang w:eastAsia="bg-BG"/>
              </w:rPr>
              <w:t>®).</w:t>
            </w:r>
          </w:p>
        </w:tc>
      </w:tr>
      <w:tr w:rsidR="00E76334" w:rsidRPr="003A5BBA" w14:paraId="71D039BC" w14:textId="77777777" w:rsidTr="007E7F81">
        <w:trPr>
          <w:cantSplit/>
        </w:trPr>
        <w:tc>
          <w:tcPr>
            <w:tcW w:w="2497" w:type="dxa"/>
            <w:vAlign w:val="center"/>
          </w:tcPr>
          <w:p w14:paraId="4320C444" w14:textId="3A4F7D58" w:rsidR="00E76334" w:rsidRPr="003A5BBA" w:rsidRDefault="00E76334" w:rsidP="00E76334">
            <w:pPr>
              <w:pStyle w:val="NoSpacing"/>
              <w:rPr>
                <w:rFonts w:ascii="Arial" w:hAnsi="Arial" w:cs="Arial"/>
                <w:b/>
                <w:sz w:val="24"/>
                <w:szCs w:val="24"/>
              </w:rPr>
            </w:pPr>
            <w:r w:rsidRPr="00472374">
              <w:rPr>
                <w:rFonts w:ascii="Arial" w:hAnsi="Arial" w:cs="Arial"/>
                <w:b/>
                <w:lang w:val="bg-BG" w:eastAsia="bg-BG"/>
              </w:rPr>
              <w:t>Oral Anti-Cancer Medications</w:t>
            </w:r>
          </w:p>
        </w:tc>
        <w:tc>
          <w:tcPr>
            <w:tcW w:w="2070" w:type="dxa"/>
            <w:vAlign w:val="center"/>
          </w:tcPr>
          <w:p w14:paraId="01EE0F34" w14:textId="77777777" w:rsidR="00E76334" w:rsidRPr="003A5BBA" w:rsidRDefault="007B210D" w:rsidP="00E76334">
            <w:pPr>
              <w:pStyle w:val="NoSpacing"/>
              <w:rPr>
                <w:rFonts w:ascii="MS Gothic" w:eastAsia="MS Gothic" w:hAnsi="MS Gothic" w:cs="Arial"/>
                <w:sz w:val="24"/>
                <w:szCs w:val="24"/>
              </w:rPr>
            </w:pPr>
            <w:sdt>
              <w:sdtPr>
                <w:rPr>
                  <w:rFonts w:ascii="Arial" w:hAnsi="Arial" w:cs="Arial"/>
                  <w:sz w:val="24"/>
                  <w:szCs w:val="24"/>
                </w:rPr>
                <w:id w:val="-209113911"/>
                <w14:checkbox>
                  <w14:checked w14:val="1"/>
                  <w14:checkedState w14:val="2612" w14:font="MS Gothic"/>
                  <w14:uncheckedState w14:val="2610" w14:font="MS Gothic"/>
                </w14:checkbox>
              </w:sdtPr>
              <w:sdtEndPr/>
              <w:sdtContent>
                <w:r w:rsidR="00E76334" w:rsidRPr="003A5BBA">
                  <w:rPr>
                    <w:rFonts w:ascii="MS Gothic" w:eastAsia="MS Gothic" w:hAnsi="MS Gothic" w:cs="Arial" w:hint="eastAsia"/>
                    <w:sz w:val="24"/>
                    <w:szCs w:val="24"/>
                  </w:rPr>
                  <w:t>☒</w:t>
                </w:r>
              </w:sdtContent>
            </w:sdt>
            <w:r w:rsidR="00E76334" w:rsidRPr="003A5BBA">
              <w:rPr>
                <w:rFonts w:ascii="Arial" w:hAnsi="Arial" w:cs="Arial"/>
                <w:sz w:val="24"/>
                <w:szCs w:val="24"/>
              </w:rPr>
              <w:t xml:space="preserve"> Medicaid</w:t>
            </w:r>
          </w:p>
        </w:tc>
        <w:tc>
          <w:tcPr>
            <w:tcW w:w="8411" w:type="dxa"/>
            <w:vAlign w:val="center"/>
          </w:tcPr>
          <w:p w14:paraId="24C9EE85" w14:textId="6218B9B1" w:rsidR="00E76334" w:rsidRPr="003A5BBA" w:rsidRDefault="00E76334" w:rsidP="00E76334">
            <w:pPr>
              <w:spacing w:before="40" w:after="40"/>
              <w:rPr>
                <w:rFonts w:ascii="Arial" w:hAnsi="Arial" w:cs="Arial"/>
                <w:szCs w:val="24"/>
              </w:rPr>
            </w:pPr>
            <w:r w:rsidRPr="00472374">
              <w:rPr>
                <w:rFonts w:ascii="Arial" w:hAnsi="Arial" w:cs="Arial"/>
                <w:sz w:val="22"/>
                <w:szCs w:val="22"/>
                <w:lang w:eastAsia="bg-BG"/>
              </w:rPr>
              <w:t>R</w:t>
            </w:r>
            <w:r w:rsidRPr="00472374">
              <w:rPr>
                <w:rFonts w:ascii="Arial" w:hAnsi="Arial" w:cs="Arial"/>
                <w:sz w:val="22"/>
                <w:szCs w:val="22"/>
                <w:lang w:val="bg-BG" w:eastAsia="bg-BG"/>
              </w:rPr>
              <w:t>emoved Zejula</w:t>
            </w:r>
            <w:r w:rsidRPr="00472374">
              <w:rPr>
                <w:rFonts w:ascii="Arial" w:hAnsi="Arial" w:cs="Arial"/>
                <w:sz w:val="22"/>
                <w:szCs w:val="22"/>
                <w:lang w:eastAsia="bg-BG"/>
              </w:rPr>
              <w:t>®</w:t>
            </w:r>
            <w:r w:rsidRPr="00472374">
              <w:rPr>
                <w:rFonts w:ascii="Arial" w:hAnsi="Arial" w:cs="Arial"/>
                <w:sz w:val="22"/>
                <w:szCs w:val="22"/>
                <w:lang w:val="bg-BG" w:eastAsia="bg-BG"/>
              </w:rPr>
              <w:t xml:space="preserve"> indication</w:t>
            </w:r>
            <w:r w:rsidRPr="00472374">
              <w:rPr>
                <w:rFonts w:ascii="Arial" w:hAnsi="Arial" w:cs="Arial"/>
                <w:sz w:val="22"/>
                <w:szCs w:val="22"/>
                <w:lang w:eastAsia="bg-BG"/>
              </w:rPr>
              <w:t>-</w:t>
            </w:r>
            <w:r w:rsidRPr="00472374">
              <w:rPr>
                <w:rFonts w:ascii="Arial" w:hAnsi="Arial" w:cs="Arial"/>
                <w:sz w:val="22"/>
                <w:szCs w:val="22"/>
                <w:lang w:val="bg-BG" w:eastAsia="bg-BG"/>
              </w:rPr>
              <w:t>specific criteria to align with cost-positioning contracts. In addition, removed prior authorization for Medicare Part B temozolomide and Alkeran</w:t>
            </w:r>
            <w:r w:rsidRPr="00472374">
              <w:rPr>
                <w:rFonts w:ascii="Arial" w:hAnsi="Arial" w:cs="Arial"/>
                <w:sz w:val="22"/>
                <w:szCs w:val="22"/>
                <w:lang w:eastAsia="bg-BG"/>
              </w:rPr>
              <w:t>®</w:t>
            </w:r>
            <w:r w:rsidRPr="00472374">
              <w:rPr>
                <w:rFonts w:ascii="Arial" w:hAnsi="Arial" w:cs="Arial"/>
                <w:sz w:val="22"/>
                <w:szCs w:val="22"/>
                <w:lang w:val="bg-BG" w:eastAsia="bg-BG"/>
              </w:rPr>
              <w:t xml:space="preserve"> given low risk for over utilization.</w:t>
            </w:r>
          </w:p>
        </w:tc>
      </w:tr>
      <w:tr w:rsidR="00E76334" w:rsidRPr="003A5BBA" w14:paraId="59E45B3E" w14:textId="77777777" w:rsidTr="007E7F81">
        <w:trPr>
          <w:cantSplit/>
        </w:trPr>
        <w:tc>
          <w:tcPr>
            <w:tcW w:w="2497" w:type="dxa"/>
            <w:vAlign w:val="center"/>
          </w:tcPr>
          <w:p w14:paraId="5C43D4D6" w14:textId="0AFCC8A2" w:rsidR="00E76334" w:rsidRPr="003A5BBA" w:rsidRDefault="00E76334" w:rsidP="00E76334">
            <w:pPr>
              <w:pStyle w:val="NoSpacing"/>
              <w:rPr>
                <w:rFonts w:ascii="Arial" w:hAnsi="Arial" w:cs="Arial"/>
                <w:b/>
                <w:sz w:val="24"/>
                <w:szCs w:val="24"/>
              </w:rPr>
            </w:pPr>
            <w:r w:rsidRPr="00472374">
              <w:rPr>
                <w:rFonts w:ascii="Arial" w:hAnsi="Arial" w:cs="Arial"/>
                <w:b/>
                <w:lang w:val="bg-BG" w:eastAsia="bg-BG"/>
              </w:rPr>
              <w:t>Provenge</w:t>
            </w:r>
          </w:p>
        </w:tc>
        <w:tc>
          <w:tcPr>
            <w:tcW w:w="2070" w:type="dxa"/>
            <w:vAlign w:val="center"/>
          </w:tcPr>
          <w:p w14:paraId="56A5F298" w14:textId="77777777" w:rsidR="00E76334" w:rsidRPr="003A5BBA" w:rsidRDefault="007B210D" w:rsidP="00E76334">
            <w:pPr>
              <w:pStyle w:val="NoSpacing"/>
              <w:rPr>
                <w:rFonts w:ascii="MS Gothic" w:eastAsia="MS Gothic" w:hAnsi="MS Gothic" w:cs="Arial"/>
                <w:sz w:val="24"/>
                <w:szCs w:val="24"/>
              </w:rPr>
            </w:pPr>
            <w:sdt>
              <w:sdtPr>
                <w:rPr>
                  <w:rFonts w:ascii="Arial" w:hAnsi="Arial" w:cs="Arial"/>
                  <w:sz w:val="24"/>
                  <w:szCs w:val="24"/>
                </w:rPr>
                <w:id w:val="1365632787"/>
                <w14:checkbox>
                  <w14:checked w14:val="1"/>
                  <w14:checkedState w14:val="2612" w14:font="MS Gothic"/>
                  <w14:uncheckedState w14:val="2610" w14:font="MS Gothic"/>
                </w14:checkbox>
              </w:sdtPr>
              <w:sdtEndPr/>
              <w:sdtContent>
                <w:r w:rsidR="00E76334" w:rsidRPr="003A5BBA">
                  <w:rPr>
                    <w:rFonts w:ascii="MS Gothic" w:eastAsia="MS Gothic" w:hAnsi="MS Gothic" w:cs="Arial" w:hint="eastAsia"/>
                    <w:sz w:val="24"/>
                    <w:szCs w:val="24"/>
                  </w:rPr>
                  <w:t>☒</w:t>
                </w:r>
              </w:sdtContent>
            </w:sdt>
            <w:r w:rsidR="00E76334" w:rsidRPr="003A5BBA">
              <w:rPr>
                <w:rFonts w:ascii="Arial" w:hAnsi="Arial" w:cs="Arial"/>
                <w:sz w:val="24"/>
                <w:szCs w:val="24"/>
              </w:rPr>
              <w:t xml:space="preserve"> Medicaid</w:t>
            </w:r>
          </w:p>
        </w:tc>
        <w:tc>
          <w:tcPr>
            <w:tcW w:w="8411" w:type="dxa"/>
            <w:vAlign w:val="center"/>
          </w:tcPr>
          <w:p w14:paraId="3758849D" w14:textId="2113AFEB" w:rsidR="00E76334" w:rsidRPr="003A5BBA" w:rsidRDefault="00E76334" w:rsidP="00E76334">
            <w:pPr>
              <w:spacing w:before="40" w:after="40"/>
              <w:rPr>
                <w:rFonts w:ascii="Arial" w:hAnsi="Arial" w:cs="Arial"/>
                <w:szCs w:val="24"/>
              </w:rPr>
            </w:pPr>
            <w:r w:rsidRPr="00472374">
              <w:rPr>
                <w:rFonts w:ascii="Arial" w:hAnsi="Arial" w:cs="Arial"/>
                <w:sz w:val="22"/>
                <w:szCs w:val="22"/>
                <w:lang w:eastAsia="bg-BG"/>
              </w:rPr>
              <w:t>R</w:t>
            </w:r>
            <w:r w:rsidRPr="00472374">
              <w:rPr>
                <w:rFonts w:ascii="Arial" w:hAnsi="Arial" w:cs="Arial"/>
                <w:sz w:val="22"/>
                <w:szCs w:val="22"/>
                <w:lang w:val="bg-BG" w:eastAsia="bg-BG"/>
              </w:rPr>
              <w:t>emoved comment about “no complaints of bone pain as an example of minimally symptomatic metastatic disease” to better reflect population in clinical trials. Updated definition of castrate resistant prostate cancer to include clinical or biochemical progression (as well as radiographic) to align with NCCN Prostate Cancer guideline definition</w:t>
            </w:r>
            <w:r w:rsidRPr="00472374">
              <w:rPr>
                <w:rFonts w:ascii="Arial" w:hAnsi="Arial" w:cs="Arial"/>
                <w:sz w:val="22"/>
                <w:szCs w:val="22"/>
                <w:lang w:eastAsia="bg-BG"/>
              </w:rPr>
              <w:t>.</w:t>
            </w:r>
            <w:r w:rsidRPr="00472374">
              <w:rPr>
                <w:rFonts w:ascii="Arial" w:hAnsi="Arial" w:cs="Arial"/>
                <w:sz w:val="22"/>
                <w:szCs w:val="22"/>
                <w:lang w:val="bg-BG" w:eastAsia="bg-BG"/>
              </w:rPr>
              <w:t xml:space="preserve"> Added other visceral metastases in addition to hepatic to align with NCCN guidelines. Clarified exclusion statement regarding immunosuppressive agents.</w:t>
            </w:r>
          </w:p>
        </w:tc>
      </w:tr>
      <w:tr w:rsidR="00E76334" w:rsidRPr="003A5BBA" w14:paraId="5E473F6D" w14:textId="77777777" w:rsidTr="007E7F81">
        <w:trPr>
          <w:cantSplit/>
        </w:trPr>
        <w:tc>
          <w:tcPr>
            <w:tcW w:w="2497" w:type="dxa"/>
          </w:tcPr>
          <w:p w14:paraId="288D3C0E" w14:textId="6F436579" w:rsidR="00E76334" w:rsidRPr="003A5BBA" w:rsidRDefault="00E76334" w:rsidP="00E76334">
            <w:pPr>
              <w:pStyle w:val="NoSpacing"/>
              <w:rPr>
                <w:rFonts w:ascii="Arial" w:hAnsi="Arial" w:cs="Arial"/>
                <w:b/>
                <w:sz w:val="24"/>
                <w:szCs w:val="24"/>
              </w:rPr>
            </w:pPr>
            <w:r w:rsidRPr="00472374">
              <w:rPr>
                <w:rFonts w:ascii="Arial" w:hAnsi="Arial" w:cs="Arial"/>
                <w:b/>
                <w:lang w:eastAsia="bg-BG"/>
              </w:rPr>
              <w:t>Rituximab</w:t>
            </w:r>
          </w:p>
        </w:tc>
        <w:tc>
          <w:tcPr>
            <w:tcW w:w="2070" w:type="dxa"/>
            <w:vAlign w:val="center"/>
          </w:tcPr>
          <w:p w14:paraId="06E88537" w14:textId="77777777" w:rsidR="00E76334" w:rsidRPr="003A5BBA" w:rsidRDefault="007B210D" w:rsidP="00E76334">
            <w:pPr>
              <w:pStyle w:val="NoSpacing"/>
              <w:rPr>
                <w:rFonts w:ascii="MS Gothic" w:eastAsia="MS Gothic" w:hAnsi="MS Gothic" w:cs="Arial"/>
                <w:sz w:val="24"/>
                <w:szCs w:val="24"/>
              </w:rPr>
            </w:pPr>
            <w:sdt>
              <w:sdtPr>
                <w:rPr>
                  <w:rFonts w:ascii="Arial" w:hAnsi="Arial" w:cs="Arial"/>
                  <w:sz w:val="24"/>
                  <w:szCs w:val="24"/>
                </w:rPr>
                <w:id w:val="1681935845"/>
                <w14:checkbox>
                  <w14:checked w14:val="1"/>
                  <w14:checkedState w14:val="2612" w14:font="MS Gothic"/>
                  <w14:uncheckedState w14:val="2610" w14:font="MS Gothic"/>
                </w14:checkbox>
              </w:sdtPr>
              <w:sdtEndPr/>
              <w:sdtContent>
                <w:r w:rsidR="00E76334" w:rsidRPr="003A5BBA">
                  <w:rPr>
                    <w:rFonts w:ascii="MS Gothic" w:eastAsia="MS Gothic" w:hAnsi="MS Gothic" w:cs="Arial" w:hint="eastAsia"/>
                    <w:sz w:val="24"/>
                    <w:szCs w:val="24"/>
                  </w:rPr>
                  <w:t>☒</w:t>
                </w:r>
              </w:sdtContent>
            </w:sdt>
            <w:r w:rsidR="00E76334" w:rsidRPr="003A5BBA">
              <w:rPr>
                <w:rFonts w:ascii="Arial" w:hAnsi="Arial" w:cs="Arial"/>
                <w:sz w:val="24"/>
                <w:szCs w:val="24"/>
              </w:rPr>
              <w:t xml:space="preserve"> Medicaid</w:t>
            </w:r>
          </w:p>
        </w:tc>
        <w:tc>
          <w:tcPr>
            <w:tcW w:w="8411" w:type="dxa"/>
          </w:tcPr>
          <w:p w14:paraId="214B3BF1" w14:textId="2F28C3C2" w:rsidR="00E76334" w:rsidRPr="003A5BBA" w:rsidRDefault="00E76334" w:rsidP="003D7F23">
            <w:pPr>
              <w:pStyle w:val="NoSpacing"/>
              <w:numPr>
                <w:ilvl w:val="0"/>
                <w:numId w:val="6"/>
              </w:numPr>
              <w:rPr>
                <w:rFonts w:ascii="Arial" w:hAnsi="Arial" w:cs="Arial"/>
                <w:sz w:val="24"/>
                <w:szCs w:val="24"/>
              </w:rPr>
            </w:pPr>
            <w:r w:rsidRPr="00472374">
              <w:rPr>
                <w:rFonts w:ascii="Arial" w:hAnsi="Arial" w:cs="Arial"/>
                <w:lang w:eastAsia="bg-BG"/>
              </w:rPr>
              <w:t>Changed criteria for Rheumatoid Arthritis to trial/failure of one tumor necrosis factor (TNF) antagonist to align with FDA labeling. Criteria change for Relapsing and Remitting Multiple Sclerosis to trial/failure of two disease modifying agents (removed requirement for specific agents) OR patient has severe disease (without trial/failure of two agents) to align with current practice patterns. For warm autoimmune hemolytic anemia, removed requirement for splenectomy as it is moving to third line therapy after corticosteroids and rituximab. Increased reauthorization duration from 6 months to one year for all indications.</w:t>
            </w:r>
          </w:p>
        </w:tc>
      </w:tr>
      <w:tr w:rsidR="00E76334" w:rsidRPr="003A5BBA" w14:paraId="3EA12804" w14:textId="77777777" w:rsidTr="007E7F81">
        <w:trPr>
          <w:cantSplit/>
        </w:trPr>
        <w:tc>
          <w:tcPr>
            <w:tcW w:w="2497" w:type="dxa"/>
          </w:tcPr>
          <w:p w14:paraId="355DB1CA" w14:textId="33A95BE4" w:rsidR="00E76334" w:rsidRPr="003A5BBA" w:rsidRDefault="00E76334" w:rsidP="00E76334">
            <w:pPr>
              <w:pStyle w:val="NoSpacing"/>
              <w:rPr>
                <w:rFonts w:ascii="Arial" w:hAnsi="Arial" w:cs="Arial"/>
                <w:b/>
                <w:sz w:val="24"/>
                <w:szCs w:val="24"/>
              </w:rPr>
            </w:pPr>
            <w:r w:rsidRPr="00B1368B">
              <w:rPr>
                <w:rFonts w:ascii="Arial" w:hAnsi="Arial" w:cs="Arial"/>
                <w:b/>
                <w:lang w:eastAsia="bg-BG"/>
              </w:rPr>
              <w:t xml:space="preserve">Therapeutic </w:t>
            </w:r>
            <w:proofErr w:type="spellStart"/>
            <w:r w:rsidRPr="00B1368B">
              <w:rPr>
                <w:rFonts w:ascii="Arial" w:hAnsi="Arial" w:cs="Arial"/>
                <w:b/>
                <w:lang w:eastAsia="bg-BG"/>
              </w:rPr>
              <w:t>Immunomodulators</w:t>
            </w:r>
            <w:proofErr w:type="spellEnd"/>
            <w:r w:rsidRPr="00B1368B">
              <w:rPr>
                <w:rFonts w:ascii="Arial" w:hAnsi="Arial" w:cs="Arial"/>
                <w:b/>
                <w:lang w:eastAsia="bg-BG"/>
              </w:rPr>
              <w:t xml:space="preserve"> - Medicaid</w:t>
            </w:r>
          </w:p>
        </w:tc>
        <w:tc>
          <w:tcPr>
            <w:tcW w:w="2070" w:type="dxa"/>
            <w:vAlign w:val="center"/>
          </w:tcPr>
          <w:p w14:paraId="7E71BC96" w14:textId="77777777" w:rsidR="00E76334" w:rsidRPr="003A5BBA" w:rsidRDefault="007B210D" w:rsidP="00E76334">
            <w:pPr>
              <w:pStyle w:val="NoSpacing"/>
              <w:rPr>
                <w:rFonts w:ascii="MS Gothic" w:eastAsia="MS Gothic" w:hAnsi="MS Gothic" w:cs="Arial"/>
                <w:sz w:val="24"/>
                <w:szCs w:val="24"/>
              </w:rPr>
            </w:pPr>
            <w:sdt>
              <w:sdtPr>
                <w:rPr>
                  <w:rFonts w:ascii="Arial" w:hAnsi="Arial" w:cs="Arial"/>
                  <w:sz w:val="24"/>
                  <w:szCs w:val="24"/>
                </w:rPr>
                <w:id w:val="-1026788494"/>
                <w14:checkbox>
                  <w14:checked w14:val="1"/>
                  <w14:checkedState w14:val="2612" w14:font="MS Gothic"/>
                  <w14:uncheckedState w14:val="2610" w14:font="MS Gothic"/>
                </w14:checkbox>
              </w:sdtPr>
              <w:sdtEndPr/>
              <w:sdtContent>
                <w:r w:rsidR="00E76334" w:rsidRPr="003A5BBA">
                  <w:rPr>
                    <w:rFonts w:ascii="MS Gothic" w:eastAsia="MS Gothic" w:hAnsi="MS Gothic" w:cs="Arial" w:hint="eastAsia"/>
                    <w:sz w:val="24"/>
                    <w:szCs w:val="24"/>
                  </w:rPr>
                  <w:t>☒</w:t>
                </w:r>
              </w:sdtContent>
            </w:sdt>
            <w:r w:rsidR="00E76334" w:rsidRPr="003A5BBA">
              <w:rPr>
                <w:rFonts w:ascii="Arial" w:hAnsi="Arial" w:cs="Arial"/>
                <w:sz w:val="24"/>
                <w:szCs w:val="24"/>
              </w:rPr>
              <w:t xml:space="preserve"> Medicaid</w:t>
            </w:r>
          </w:p>
        </w:tc>
        <w:tc>
          <w:tcPr>
            <w:tcW w:w="8411" w:type="dxa"/>
          </w:tcPr>
          <w:p w14:paraId="6C5CC93D" w14:textId="3E5691AD" w:rsidR="00E76334" w:rsidRPr="003A5BBA" w:rsidRDefault="00E76334" w:rsidP="00E76334">
            <w:pPr>
              <w:pStyle w:val="NoSpacing"/>
              <w:rPr>
                <w:rFonts w:ascii="Arial" w:hAnsi="Arial" w:cs="Arial"/>
                <w:sz w:val="24"/>
                <w:szCs w:val="24"/>
              </w:rPr>
            </w:pPr>
            <w:r w:rsidRPr="00B1368B">
              <w:rPr>
                <w:rFonts w:ascii="Arial" w:hAnsi="Arial" w:cs="Arial"/>
                <w:lang w:val="bg-BG" w:eastAsia="bg-BG"/>
              </w:rPr>
              <w:t>Based on a drug utilization review of psoriasis treatments in this population, Cosentyx® was added as a preferred agent for the indication. Otezla® and Enbrel® were removed as preferred agents due to their poor efficacy in this disease state.</w:t>
            </w:r>
            <w:r>
              <w:rPr>
                <w:rFonts w:ascii="Arial" w:hAnsi="Arial" w:cs="Arial"/>
                <w:b/>
                <w:lang w:eastAsia="bg-BG"/>
              </w:rPr>
              <w:t xml:space="preserve"> </w:t>
            </w:r>
          </w:p>
        </w:tc>
      </w:tr>
    </w:tbl>
    <w:p w14:paraId="453CC1DD" w14:textId="7F137138" w:rsidR="007E7F81" w:rsidRDefault="007E7F81" w:rsidP="003D7F23">
      <w:pPr>
        <w:pStyle w:val="NoSpacing"/>
        <w:spacing w:after="200"/>
        <w:rPr>
          <w:rFonts w:ascii="Arial" w:hAnsi="Arial" w:cs="Arial"/>
          <w:b/>
          <w:sz w:val="24"/>
          <w:szCs w:val="24"/>
          <w:u w:val="single"/>
        </w:rPr>
      </w:pPr>
    </w:p>
    <w:p w14:paraId="27EB75D2" w14:textId="274B0A2A" w:rsidR="000B35D5" w:rsidRDefault="000B35D5" w:rsidP="003D7F23">
      <w:pPr>
        <w:pStyle w:val="NoSpacing"/>
        <w:spacing w:after="200"/>
        <w:rPr>
          <w:rFonts w:ascii="Arial" w:hAnsi="Arial" w:cs="Arial"/>
          <w:b/>
          <w:sz w:val="24"/>
          <w:szCs w:val="24"/>
          <w:u w:val="single"/>
        </w:rPr>
      </w:pPr>
    </w:p>
    <w:p w14:paraId="6B927E05" w14:textId="695D3F7E" w:rsidR="000B35D5" w:rsidRDefault="000B35D5" w:rsidP="003D7F23">
      <w:pPr>
        <w:pStyle w:val="NoSpacing"/>
        <w:spacing w:after="200"/>
        <w:rPr>
          <w:rFonts w:ascii="Arial" w:hAnsi="Arial" w:cs="Arial"/>
          <w:b/>
          <w:sz w:val="24"/>
          <w:szCs w:val="24"/>
          <w:u w:val="single"/>
        </w:rPr>
      </w:pPr>
    </w:p>
    <w:p w14:paraId="2AB38139" w14:textId="243B7E9A" w:rsidR="003D7F23" w:rsidRDefault="007E7F81" w:rsidP="003D7F23">
      <w:pPr>
        <w:pStyle w:val="NoSpacing"/>
        <w:spacing w:after="200"/>
        <w:rPr>
          <w:rFonts w:ascii="Arial" w:hAnsi="Arial" w:cs="Arial"/>
          <w:sz w:val="24"/>
          <w:szCs w:val="24"/>
        </w:rPr>
      </w:pPr>
      <w:r>
        <w:rPr>
          <w:rFonts w:ascii="Arial" w:hAnsi="Arial" w:cs="Arial"/>
          <w:b/>
          <w:sz w:val="24"/>
          <w:szCs w:val="24"/>
          <w:u w:val="single"/>
        </w:rPr>
        <w:lastRenderedPageBreak/>
        <w:t>Retired</w:t>
      </w:r>
      <w:r w:rsidR="003D7F23">
        <w:rPr>
          <w:rFonts w:ascii="Arial" w:hAnsi="Arial" w:cs="Arial"/>
          <w:b/>
          <w:sz w:val="24"/>
          <w:szCs w:val="24"/>
          <w:u w:val="single"/>
        </w:rPr>
        <w:t xml:space="preserve"> Medical Policies</w:t>
      </w:r>
      <w:r w:rsidR="003D7F23">
        <w:rPr>
          <w:rFonts w:ascii="Arial" w:hAnsi="Arial" w:cs="Arial"/>
          <w:sz w:val="24"/>
          <w:szCs w:val="24"/>
        </w:rPr>
        <w:t xml:space="preserve">: </w:t>
      </w:r>
    </w:p>
    <w:p w14:paraId="43714272" w14:textId="2FB498FB" w:rsidR="003D7F23" w:rsidRDefault="003D7F23" w:rsidP="003D7F23">
      <w:pPr>
        <w:pStyle w:val="NoSpacing"/>
        <w:numPr>
          <w:ilvl w:val="0"/>
          <w:numId w:val="2"/>
        </w:numPr>
        <w:rPr>
          <w:rFonts w:ascii="Arial" w:hAnsi="Arial" w:cs="Arial"/>
          <w:sz w:val="24"/>
          <w:szCs w:val="24"/>
        </w:rPr>
      </w:pPr>
      <w:r>
        <w:rPr>
          <w:rFonts w:ascii="Arial" w:hAnsi="Arial" w:cs="Arial"/>
          <w:sz w:val="24"/>
          <w:szCs w:val="24"/>
        </w:rPr>
        <w:t>None</w:t>
      </w:r>
    </w:p>
    <w:p w14:paraId="6B0EE7FA" w14:textId="77777777" w:rsidR="003D7F23" w:rsidRDefault="003D7F23" w:rsidP="003D7F23">
      <w:pPr>
        <w:pStyle w:val="NoSpacing"/>
        <w:rPr>
          <w:rFonts w:ascii="Arial" w:hAnsi="Arial" w:cs="Arial"/>
          <w:sz w:val="24"/>
          <w:szCs w:val="24"/>
        </w:rPr>
      </w:pPr>
    </w:p>
    <w:p w14:paraId="7C276221" w14:textId="46A7585F" w:rsidR="00300CD3" w:rsidRDefault="00300CD3" w:rsidP="007A4F2D">
      <w:pPr>
        <w:pStyle w:val="NoSpacing"/>
        <w:spacing w:after="200"/>
        <w:rPr>
          <w:rFonts w:ascii="Arial" w:hAnsi="Arial" w:cs="Arial"/>
          <w:sz w:val="24"/>
          <w:szCs w:val="24"/>
        </w:rPr>
      </w:pPr>
      <w:r>
        <w:rPr>
          <w:rFonts w:ascii="Arial" w:hAnsi="Arial" w:cs="Arial"/>
          <w:b/>
          <w:sz w:val="24"/>
          <w:szCs w:val="24"/>
          <w:u w:val="single"/>
        </w:rPr>
        <w:t>New Medical Policies</w:t>
      </w:r>
      <w:r w:rsidR="007E0CE8">
        <w:rPr>
          <w:rFonts w:ascii="Arial" w:hAnsi="Arial" w:cs="Arial"/>
          <w:sz w:val="24"/>
          <w:szCs w:val="24"/>
        </w:rPr>
        <w:t xml:space="preserve">: </w:t>
      </w:r>
    </w:p>
    <w:p w14:paraId="1062D8C2" w14:textId="0B2377C4" w:rsidR="00E52B58" w:rsidRPr="003D7F23" w:rsidRDefault="003D7F23" w:rsidP="003D7F23">
      <w:pPr>
        <w:pStyle w:val="NoSpacing"/>
        <w:numPr>
          <w:ilvl w:val="0"/>
          <w:numId w:val="2"/>
        </w:numPr>
        <w:rPr>
          <w:rFonts w:ascii="Arial" w:hAnsi="Arial" w:cs="Arial"/>
          <w:sz w:val="24"/>
          <w:szCs w:val="24"/>
        </w:rPr>
      </w:pPr>
      <w:r>
        <w:rPr>
          <w:rFonts w:ascii="Arial" w:hAnsi="Arial" w:cs="Arial"/>
          <w:sz w:val="24"/>
          <w:szCs w:val="24"/>
        </w:rPr>
        <w:t>None</w:t>
      </w:r>
    </w:p>
    <w:p w14:paraId="2C2A0567" w14:textId="77777777" w:rsidR="00E52B58" w:rsidRPr="00E52B58" w:rsidRDefault="00E52B58" w:rsidP="00E52B58">
      <w:pPr>
        <w:pStyle w:val="NoSpacing"/>
        <w:rPr>
          <w:rFonts w:ascii="Arial" w:hAnsi="Arial" w:cs="Arial"/>
          <w:sz w:val="24"/>
          <w:szCs w:val="24"/>
        </w:rPr>
      </w:pPr>
    </w:p>
    <w:p w14:paraId="48ED365A" w14:textId="45A26CC8" w:rsidR="00BE36E2" w:rsidRDefault="00BE36E2" w:rsidP="00BE36E2">
      <w:pPr>
        <w:pStyle w:val="NoSpacing"/>
        <w:spacing w:after="200"/>
        <w:rPr>
          <w:rFonts w:ascii="Arial" w:hAnsi="Arial" w:cs="Arial"/>
          <w:sz w:val="24"/>
          <w:szCs w:val="24"/>
        </w:rPr>
      </w:pPr>
      <w:r>
        <w:rPr>
          <w:rFonts w:ascii="Arial" w:hAnsi="Arial" w:cs="Arial"/>
          <w:b/>
          <w:sz w:val="24"/>
          <w:szCs w:val="24"/>
          <w:u w:val="single"/>
        </w:rPr>
        <w:t>New Drugs</w:t>
      </w:r>
      <w:r>
        <w:rPr>
          <w:rFonts w:ascii="Arial" w:hAnsi="Arial" w:cs="Arial"/>
          <w:sz w:val="24"/>
          <w:szCs w:val="24"/>
        </w:rPr>
        <w:t xml:space="preserve">: </w:t>
      </w:r>
    </w:p>
    <w:tbl>
      <w:tblPr>
        <w:tblStyle w:val="TableGrid"/>
        <w:tblW w:w="13225" w:type="dxa"/>
        <w:tblLayout w:type="fixed"/>
        <w:tblLook w:val="04A0" w:firstRow="1" w:lastRow="0" w:firstColumn="1" w:lastColumn="0" w:noHBand="0" w:noVBand="1"/>
      </w:tblPr>
      <w:tblGrid>
        <w:gridCol w:w="3235"/>
        <w:gridCol w:w="6300"/>
        <w:gridCol w:w="3690"/>
      </w:tblGrid>
      <w:tr w:rsidR="00BE36E2" w:rsidRPr="000C1195" w14:paraId="7483A2F7" w14:textId="77777777" w:rsidTr="007E7F81">
        <w:tc>
          <w:tcPr>
            <w:tcW w:w="3235" w:type="dxa"/>
            <w:shd w:val="clear" w:color="auto" w:fill="B8CCE4" w:themeFill="accent1" w:themeFillTint="66"/>
          </w:tcPr>
          <w:p w14:paraId="02419A88" w14:textId="77777777" w:rsidR="00BE36E2" w:rsidRPr="000C1195" w:rsidRDefault="00BE36E2" w:rsidP="00036CC4">
            <w:pPr>
              <w:jc w:val="center"/>
              <w:rPr>
                <w:rFonts w:ascii="Arial" w:hAnsi="Arial" w:cs="Arial"/>
                <w:szCs w:val="24"/>
              </w:rPr>
            </w:pPr>
            <w:r w:rsidRPr="000C1195">
              <w:rPr>
                <w:rFonts w:ascii="Arial" w:hAnsi="Arial" w:cs="Arial"/>
                <w:b/>
                <w:bCs/>
                <w:szCs w:val="24"/>
              </w:rPr>
              <w:t>Drug Name</w:t>
            </w:r>
          </w:p>
        </w:tc>
        <w:tc>
          <w:tcPr>
            <w:tcW w:w="6300" w:type="dxa"/>
            <w:shd w:val="clear" w:color="auto" w:fill="B8CCE4" w:themeFill="accent1" w:themeFillTint="66"/>
          </w:tcPr>
          <w:p w14:paraId="29D20F5A" w14:textId="77777777" w:rsidR="00BE36E2" w:rsidRPr="000C1195" w:rsidRDefault="00BE36E2" w:rsidP="00036CC4">
            <w:pPr>
              <w:jc w:val="center"/>
              <w:rPr>
                <w:rFonts w:ascii="Arial" w:hAnsi="Arial" w:cs="Arial"/>
                <w:b/>
                <w:bCs/>
                <w:szCs w:val="24"/>
              </w:rPr>
            </w:pPr>
            <w:r w:rsidRPr="000C1195">
              <w:rPr>
                <w:rFonts w:ascii="Arial" w:hAnsi="Arial" w:cs="Arial"/>
                <w:b/>
                <w:bCs/>
                <w:szCs w:val="24"/>
              </w:rPr>
              <w:t>Recommendation</w:t>
            </w:r>
          </w:p>
        </w:tc>
        <w:tc>
          <w:tcPr>
            <w:tcW w:w="3690" w:type="dxa"/>
            <w:shd w:val="clear" w:color="auto" w:fill="B8CCE4" w:themeFill="accent1" w:themeFillTint="66"/>
          </w:tcPr>
          <w:p w14:paraId="7AA3AF29" w14:textId="77777777" w:rsidR="00BE36E2" w:rsidRPr="000C1195" w:rsidRDefault="00BE36E2" w:rsidP="00036CC4">
            <w:pPr>
              <w:jc w:val="center"/>
              <w:rPr>
                <w:rFonts w:ascii="Arial" w:hAnsi="Arial" w:cs="Arial"/>
                <w:szCs w:val="24"/>
              </w:rPr>
            </w:pPr>
            <w:r w:rsidRPr="000C1195">
              <w:rPr>
                <w:rFonts w:ascii="Arial" w:hAnsi="Arial" w:cs="Arial"/>
                <w:b/>
                <w:bCs/>
                <w:szCs w:val="24"/>
              </w:rPr>
              <w:t>Policy Name</w:t>
            </w:r>
          </w:p>
        </w:tc>
      </w:tr>
      <w:tr w:rsidR="00BE36E2" w:rsidRPr="000C1195" w14:paraId="17D0E70A" w14:textId="77777777" w:rsidTr="007E7F81">
        <w:tc>
          <w:tcPr>
            <w:tcW w:w="3235" w:type="dxa"/>
          </w:tcPr>
          <w:p w14:paraId="4A3C175A" w14:textId="341EBFB5" w:rsidR="00BE36E2" w:rsidRPr="000C1195" w:rsidRDefault="00E52B58" w:rsidP="00E52B58">
            <w:pPr>
              <w:rPr>
                <w:rFonts w:ascii="Arial" w:hAnsi="Arial" w:cs="Arial"/>
                <w:b/>
                <w:szCs w:val="24"/>
              </w:rPr>
            </w:pPr>
            <w:proofErr w:type="spellStart"/>
            <w:r w:rsidRPr="000C1195">
              <w:rPr>
                <w:rFonts w:ascii="Arial" w:hAnsi="Arial" w:cs="Arial"/>
                <w:b/>
                <w:szCs w:val="24"/>
              </w:rPr>
              <w:t>Orladeyo</w:t>
            </w:r>
            <w:proofErr w:type="spellEnd"/>
            <w:r w:rsidRPr="000C1195">
              <w:rPr>
                <w:rFonts w:ascii="Arial" w:hAnsi="Arial" w:cs="Arial"/>
                <w:b/>
                <w:szCs w:val="24"/>
              </w:rPr>
              <w:t>® (</w:t>
            </w:r>
            <w:proofErr w:type="spellStart"/>
            <w:r w:rsidRPr="000C1195">
              <w:rPr>
                <w:rFonts w:ascii="Arial" w:hAnsi="Arial" w:cs="Arial"/>
                <w:b/>
                <w:szCs w:val="24"/>
              </w:rPr>
              <w:t>berotralstat</w:t>
            </w:r>
            <w:proofErr w:type="spellEnd"/>
            <w:r w:rsidRPr="000C1195">
              <w:rPr>
                <w:rFonts w:ascii="Arial" w:hAnsi="Arial" w:cs="Arial"/>
                <w:b/>
                <w:szCs w:val="24"/>
              </w:rPr>
              <w:t>)</w:t>
            </w:r>
          </w:p>
        </w:tc>
        <w:tc>
          <w:tcPr>
            <w:tcW w:w="6300" w:type="dxa"/>
          </w:tcPr>
          <w:p w14:paraId="2C465EF1" w14:textId="435C9A79" w:rsidR="00BE36E2" w:rsidRPr="009C284A" w:rsidRDefault="009350F5" w:rsidP="003D7F23">
            <w:pPr>
              <w:pStyle w:val="ListParagraph"/>
              <w:numPr>
                <w:ilvl w:val="0"/>
                <w:numId w:val="9"/>
              </w:numPr>
              <w:tabs>
                <w:tab w:val="center" w:pos="1402"/>
              </w:tabs>
              <w:rPr>
                <w:rFonts w:ascii="Arial" w:hAnsi="Arial" w:cs="Arial"/>
                <w:szCs w:val="24"/>
              </w:rPr>
            </w:pPr>
            <w:r w:rsidRPr="009C284A">
              <w:rPr>
                <w:rFonts w:ascii="Arial" w:hAnsi="Arial" w:cs="Arial"/>
                <w:szCs w:val="24"/>
              </w:rPr>
              <w:t>Medicaid</w:t>
            </w:r>
            <w:r w:rsidR="009C284A">
              <w:rPr>
                <w:rFonts w:ascii="Arial" w:hAnsi="Arial" w:cs="Arial"/>
                <w:szCs w:val="24"/>
              </w:rPr>
              <w:t>: Formulary, Specialty,</w:t>
            </w:r>
            <w:r w:rsidRPr="009C284A">
              <w:rPr>
                <w:rFonts w:ascii="Arial" w:hAnsi="Arial" w:cs="Arial"/>
                <w:szCs w:val="24"/>
              </w:rPr>
              <w:t xml:space="preserve"> Prior Authorization</w:t>
            </w:r>
          </w:p>
        </w:tc>
        <w:tc>
          <w:tcPr>
            <w:tcW w:w="3690" w:type="dxa"/>
          </w:tcPr>
          <w:p w14:paraId="22B5141A" w14:textId="3550441B" w:rsidR="00BE36E2" w:rsidRPr="000C1195" w:rsidRDefault="00E52B58" w:rsidP="0067175E">
            <w:pPr>
              <w:rPr>
                <w:rFonts w:ascii="Arial" w:hAnsi="Arial" w:cs="Arial"/>
                <w:szCs w:val="24"/>
              </w:rPr>
            </w:pPr>
            <w:r w:rsidRPr="000C1195">
              <w:rPr>
                <w:rFonts w:ascii="Arial" w:hAnsi="Arial" w:cs="Arial"/>
                <w:szCs w:val="24"/>
              </w:rPr>
              <w:t>HAE Prophylactic Therapy</w:t>
            </w:r>
          </w:p>
        </w:tc>
      </w:tr>
      <w:tr w:rsidR="009C284A" w:rsidRPr="000C1195" w14:paraId="7909A561" w14:textId="77777777" w:rsidTr="007E7F81">
        <w:trPr>
          <w:trHeight w:val="85"/>
        </w:trPr>
        <w:tc>
          <w:tcPr>
            <w:tcW w:w="3235" w:type="dxa"/>
            <w:vAlign w:val="center"/>
          </w:tcPr>
          <w:p w14:paraId="1F960E8D" w14:textId="064C2097" w:rsidR="009C284A" w:rsidRPr="009C284A" w:rsidRDefault="009C284A" w:rsidP="009C284A">
            <w:pPr>
              <w:rPr>
                <w:rFonts w:ascii="Arial" w:hAnsi="Arial" w:cs="Arial"/>
                <w:b/>
                <w:szCs w:val="24"/>
              </w:rPr>
            </w:pPr>
            <w:proofErr w:type="spellStart"/>
            <w:r w:rsidRPr="009C284A">
              <w:rPr>
                <w:rFonts w:ascii="Arial" w:hAnsi="Arial" w:cs="Arial"/>
                <w:b/>
                <w:szCs w:val="24"/>
              </w:rPr>
              <w:t>Naxitamab-gqgk</w:t>
            </w:r>
            <w:proofErr w:type="spellEnd"/>
            <w:r w:rsidRPr="009C284A">
              <w:rPr>
                <w:rFonts w:ascii="Arial" w:hAnsi="Arial" w:cs="Arial"/>
                <w:b/>
                <w:szCs w:val="24"/>
              </w:rPr>
              <w:t xml:space="preserve"> (</w:t>
            </w:r>
            <w:proofErr w:type="spellStart"/>
            <w:r w:rsidRPr="009C284A">
              <w:rPr>
                <w:rFonts w:ascii="Arial" w:hAnsi="Arial" w:cs="Arial"/>
                <w:b/>
                <w:szCs w:val="24"/>
              </w:rPr>
              <w:t>Danyelza</w:t>
            </w:r>
            <w:proofErr w:type="spellEnd"/>
            <w:r w:rsidRPr="009C284A">
              <w:rPr>
                <w:rFonts w:ascii="Arial" w:hAnsi="Arial" w:cs="Arial"/>
                <w:b/>
                <w:szCs w:val="24"/>
              </w:rPr>
              <w:t>®) Vial</w:t>
            </w:r>
          </w:p>
        </w:tc>
        <w:tc>
          <w:tcPr>
            <w:tcW w:w="6300" w:type="dxa"/>
          </w:tcPr>
          <w:p w14:paraId="5AB90572" w14:textId="57AFB4AA" w:rsidR="009C284A" w:rsidRPr="00506816" w:rsidRDefault="009C284A" w:rsidP="00506816">
            <w:pPr>
              <w:tabs>
                <w:tab w:val="center" w:pos="1402"/>
              </w:tabs>
              <w:rPr>
                <w:rFonts w:ascii="Arial" w:hAnsi="Arial" w:cs="Arial"/>
                <w:szCs w:val="24"/>
              </w:rPr>
            </w:pPr>
            <w:r w:rsidRPr="00506816">
              <w:rPr>
                <w:rFonts w:ascii="Arial" w:hAnsi="Arial" w:cs="Arial"/>
                <w:szCs w:val="24"/>
              </w:rPr>
              <w:t>Medicaid: Medical Benefit, Prior Authorization</w:t>
            </w:r>
          </w:p>
        </w:tc>
        <w:tc>
          <w:tcPr>
            <w:tcW w:w="3690" w:type="dxa"/>
            <w:vAlign w:val="center"/>
          </w:tcPr>
          <w:p w14:paraId="0712D889" w14:textId="25B83F78" w:rsidR="009C284A" w:rsidRPr="009C284A" w:rsidRDefault="00506816" w:rsidP="00506816">
            <w:pPr>
              <w:rPr>
                <w:rFonts w:ascii="Arial" w:hAnsi="Arial" w:cs="Arial"/>
                <w:color w:val="000000"/>
                <w:szCs w:val="24"/>
              </w:rPr>
            </w:pPr>
            <w:r w:rsidRPr="00506816">
              <w:rPr>
                <w:rFonts w:ascii="Arial" w:hAnsi="Arial" w:cs="Arial"/>
                <w:color w:val="000000"/>
                <w:szCs w:val="24"/>
              </w:rPr>
              <w:t>Injectable Anti-Cancer Medications</w:t>
            </w:r>
          </w:p>
        </w:tc>
      </w:tr>
      <w:tr w:rsidR="009C284A" w:rsidRPr="000C1195" w14:paraId="6AAA5C97" w14:textId="77777777" w:rsidTr="007E7F81">
        <w:tc>
          <w:tcPr>
            <w:tcW w:w="3235" w:type="dxa"/>
            <w:vAlign w:val="center"/>
          </w:tcPr>
          <w:p w14:paraId="41F5CB49" w14:textId="4476EB07" w:rsidR="009C284A" w:rsidRPr="009C284A" w:rsidRDefault="00506816" w:rsidP="00506816">
            <w:pPr>
              <w:rPr>
                <w:rFonts w:ascii="Arial" w:hAnsi="Arial" w:cs="Arial"/>
                <w:b/>
                <w:szCs w:val="24"/>
              </w:rPr>
            </w:pPr>
            <w:proofErr w:type="spellStart"/>
            <w:r w:rsidRPr="00506816">
              <w:rPr>
                <w:rFonts w:ascii="Arial" w:hAnsi="Arial" w:cs="Arial"/>
                <w:b/>
                <w:szCs w:val="24"/>
              </w:rPr>
              <w:t>Nifurtimox</w:t>
            </w:r>
            <w:proofErr w:type="spellEnd"/>
            <w:r w:rsidRPr="00506816">
              <w:rPr>
                <w:rFonts w:ascii="Arial" w:hAnsi="Arial" w:cs="Arial"/>
                <w:b/>
                <w:szCs w:val="24"/>
              </w:rPr>
              <w:t xml:space="preserve"> (</w:t>
            </w:r>
            <w:proofErr w:type="spellStart"/>
            <w:r w:rsidRPr="00506816">
              <w:rPr>
                <w:rFonts w:ascii="Arial" w:hAnsi="Arial" w:cs="Arial"/>
                <w:b/>
                <w:szCs w:val="24"/>
              </w:rPr>
              <w:t>Lampit</w:t>
            </w:r>
            <w:proofErr w:type="spellEnd"/>
            <w:r w:rsidRPr="00506816">
              <w:rPr>
                <w:rFonts w:ascii="Arial" w:hAnsi="Arial" w:cs="Arial"/>
                <w:b/>
                <w:szCs w:val="24"/>
              </w:rPr>
              <w:t>®) Tablet</w:t>
            </w:r>
          </w:p>
        </w:tc>
        <w:tc>
          <w:tcPr>
            <w:tcW w:w="6300" w:type="dxa"/>
            <w:vAlign w:val="center"/>
          </w:tcPr>
          <w:p w14:paraId="0D84864A" w14:textId="7B4C4934" w:rsidR="009C284A" w:rsidRPr="009C284A" w:rsidRDefault="00506816" w:rsidP="00506816">
            <w:pPr>
              <w:tabs>
                <w:tab w:val="center" w:pos="1402"/>
              </w:tabs>
              <w:rPr>
                <w:rFonts w:ascii="Arial" w:hAnsi="Arial" w:cs="Arial"/>
                <w:szCs w:val="24"/>
              </w:rPr>
            </w:pPr>
            <w:r>
              <w:rPr>
                <w:rFonts w:ascii="Arial" w:hAnsi="Arial" w:cs="Arial"/>
                <w:szCs w:val="24"/>
              </w:rPr>
              <w:t>Non-Formulary</w:t>
            </w:r>
          </w:p>
        </w:tc>
        <w:tc>
          <w:tcPr>
            <w:tcW w:w="3690" w:type="dxa"/>
            <w:vAlign w:val="center"/>
          </w:tcPr>
          <w:p w14:paraId="30208566" w14:textId="5626D82C" w:rsidR="009C284A" w:rsidRPr="009C284A" w:rsidRDefault="00506816" w:rsidP="00506816">
            <w:pPr>
              <w:rPr>
                <w:rFonts w:ascii="Arial" w:hAnsi="Arial" w:cs="Arial"/>
                <w:color w:val="000000"/>
                <w:szCs w:val="24"/>
              </w:rPr>
            </w:pPr>
            <w:r>
              <w:rPr>
                <w:rFonts w:ascii="Arial" w:hAnsi="Arial" w:cs="Arial"/>
                <w:color w:val="000000"/>
                <w:szCs w:val="24"/>
              </w:rPr>
              <w:t>N/A</w:t>
            </w:r>
          </w:p>
        </w:tc>
      </w:tr>
      <w:tr w:rsidR="009C284A" w:rsidRPr="000C1195" w14:paraId="2372CD5F" w14:textId="77777777" w:rsidTr="007E7F81">
        <w:tc>
          <w:tcPr>
            <w:tcW w:w="3235" w:type="dxa"/>
            <w:vAlign w:val="center"/>
          </w:tcPr>
          <w:p w14:paraId="704D7429" w14:textId="64F060C2" w:rsidR="009C284A" w:rsidRPr="009C284A" w:rsidRDefault="00506816" w:rsidP="00506816">
            <w:pPr>
              <w:rPr>
                <w:rFonts w:ascii="Arial" w:hAnsi="Arial" w:cs="Arial"/>
                <w:b/>
                <w:szCs w:val="24"/>
              </w:rPr>
            </w:pPr>
            <w:proofErr w:type="spellStart"/>
            <w:r w:rsidRPr="00506816">
              <w:rPr>
                <w:rFonts w:ascii="Arial" w:hAnsi="Arial" w:cs="Arial"/>
                <w:b/>
                <w:szCs w:val="24"/>
              </w:rPr>
              <w:t>Opicapone</w:t>
            </w:r>
            <w:proofErr w:type="spellEnd"/>
            <w:r w:rsidRPr="00506816">
              <w:rPr>
                <w:rFonts w:ascii="Arial" w:hAnsi="Arial" w:cs="Arial"/>
                <w:b/>
                <w:szCs w:val="24"/>
              </w:rPr>
              <w:t xml:space="preserve"> (</w:t>
            </w:r>
            <w:proofErr w:type="spellStart"/>
            <w:r w:rsidRPr="00506816">
              <w:rPr>
                <w:rFonts w:ascii="Arial" w:hAnsi="Arial" w:cs="Arial"/>
                <w:b/>
                <w:szCs w:val="24"/>
              </w:rPr>
              <w:t>Ongentys</w:t>
            </w:r>
            <w:proofErr w:type="spellEnd"/>
            <w:r w:rsidRPr="00506816">
              <w:rPr>
                <w:rFonts w:ascii="Arial" w:hAnsi="Arial" w:cs="Arial"/>
                <w:b/>
                <w:szCs w:val="24"/>
              </w:rPr>
              <w:t>®) Capsule</w:t>
            </w:r>
          </w:p>
        </w:tc>
        <w:tc>
          <w:tcPr>
            <w:tcW w:w="6300" w:type="dxa"/>
            <w:vAlign w:val="center"/>
          </w:tcPr>
          <w:p w14:paraId="666E444D" w14:textId="17655322" w:rsidR="009C284A" w:rsidRPr="00506816" w:rsidRDefault="00506816" w:rsidP="003D7F23">
            <w:pPr>
              <w:pStyle w:val="ListParagraph"/>
              <w:numPr>
                <w:ilvl w:val="0"/>
                <w:numId w:val="9"/>
              </w:numPr>
              <w:tabs>
                <w:tab w:val="center" w:pos="1402"/>
              </w:tabs>
              <w:rPr>
                <w:rFonts w:ascii="Arial" w:hAnsi="Arial" w:cs="Arial"/>
                <w:szCs w:val="24"/>
              </w:rPr>
            </w:pPr>
            <w:r w:rsidRPr="00506816">
              <w:rPr>
                <w:rFonts w:ascii="Arial" w:hAnsi="Arial" w:cs="Arial"/>
                <w:szCs w:val="24"/>
              </w:rPr>
              <w:t xml:space="preserve">Medicaid: Formulary, </w:t>
            </w:r>
            <w:r>
              <w:rPr>
                <w:rFonts w:ascii="Arial" w:hAnsi="Arial" w:cs="Arial"/>
                <w:szCs w:val="24"/>
              </w:rPr>
              <w:t>Step Therapy</w:t>
            </w:r>
          </w:p>
        </w:tc>
        <w:tc>
          <w:tcPr>
            <w:tcW w:w="3690" w:type="dxa"/>
            <w:vAlign w:val="center"/>
          </w:tcPr>
          <w:p w14:paraId="2F3F1E1B" w14:textId="5A3BEE5B" w:rsidR="009C284A" w:rsidRPr="00506816" w:rsidRDefault="00506816" w:rsidP="00506816">
            <w:pPr>
              <w:rPr>
                <w:rFonts w:ascii="Arial" w:hAnsi="Arial" w:cs="Arial"/>
                <w:color w:val="000000"/>
                <w:szCs w:val="24"/>
              </w:rPr>
            </w:pPr>
            <w:proofErr w:type="spellStart"/>
            <w:r w:rsidRPr="00506816">
              <w:rPr>
                <w:rFonts w:ascii="Arial" w:hAnsi="Arial" w:cs="Arial"/>
                <w:color w:val="000000"/>
                <w:szCs w:val="24"/>
              </w:rPr>
              <w:t>Ongentys</w:t>
            </w:r>
            <w:proofErr w:type="spellEnd"/>
          </w:p>
        </w:tc>
      </w:tr>
      <w:tr w:rsidR="009C284A" w:rsidRPr="000C1195" w14:paraId="27963DAF" w14:textId="77777777" w:rsidTr="007E7F81">
        <w:tc>
          <w:tcPr>
            <w:tcW w:w="3235" w:type="dxa"/>
            <w:vAlign w:val="center"/>
          </w:tcPr>
          <w:p w14:paraId="314F1FC6" w14:textId="4102F537" w:rsidR="009C284A" w:rsidRPr="009C284A" w:rsidRDefault="00506816" w:rsidP="00506816">
            <w:pPr>
              <w:rPr>
                <w:rFonts w:ascii="Arial" w:hAnsi="Arial" w:cs="Arial"/>
                <w:b/>
                <w:szCs w:val="24"/>
              </w:rPr>
            </w:pPr>
            <w:proofErr w:type="spellStart"/>
            <w:r w:rsidRPr="00506816">
              <w:rPr>
                <w:rFonts w:ascii="Arial" w:hAnsi="Arial" w:cs="Arial"/>
                <w:b/>
                <w:szCs w:val="24"/>
              </w:rPr>
              <w:t>Levamlodipine</w:t>
            </w:r>
            <w:proofErr w:type="spellEnd"/>
            <w:r w:rsidRPr="00506816">
              <w:rPr>
                <w:rFonts w:ascii="Arial" w:hAnsi="Arial" w:cs="Arial"/>
                <w:b/>
                <w:szCs w:val="24"/>
              </w:rPr>
              <w:t xml:space="preserve"> maleate (</w:t>
            </w:r>
            <w:proofErr w:type="spellStart"/>
            <w:r w:rsidRPr="00506816">
              <w:rPr>
                <w:rFonts w:ascii="Arial" w:hAnsi="Arial" w:cs="Arial"/>
                <w:b/>
                <w:szCs w:val="24"/>
              </w:rPr>
              <w:t>Conjupri</w:t>
            </w:r>
            <w:proofErr w:type="spellEnd"/>
            <w:r w:rsidRPr="00506816">
              <w:rPr>
                <w:rFonts w:ascii="Arial" w:hAnsi="Arial" w:cs="Arial"/>
                <w:b/>
                <w:szCs w:val="24"/>
              </w:rPr>
              <w:t>®) Tablet</w:t>
            </w:r>
          </w:p>
        </w:tc>
        <w:tc>
          <w:tcPr>
            <w:tcW w:w="6300" w:type="dxa"/>
            <w:vAlign w:val="center"/>
          </w:tcPr>
          <w:p w14:paraId="4382BBA8" w14:textId="4051ACBC" w:rsidR="009C284A" w:rsidRPr="00506816" w:rsidRDefault="00506816" w:rsidP="00506816">
            <w:pPr>
              <w:tabs>
                <w:tab w:val="center" w:pos="1402"/>
              </w:tabs>
              <w:rPr>
                <w:rFonts w:ascii="Arial" w:hAnsi="Arial" w:cs="Arial"/>
                <w:b/>
                <w:szCs w:val="24"/>
              </w:rPr>
            </w:pPr>
            <w:r>
              <w:rPr>
                <w:rFonts w:ascii="Arial" w:hAnsi="Arial" w:cs="Arial"/>
                <w:szCs w:val="24"/>
              </w:rPr>
              <w:t>Medicaid</w:t>
            </w:r>
            <w:r w:rsidRPr="009C284A">
              <w:rPr>
                <w:rFonts w:ascii="Arial" w:hAnsi="Arial" w:cs="Arial"/>
                <w:szCs w:val="24"/>
              </w:rPr>
              <w:t xml:space="preserve">: </w:t>
            </w:r>
            <w:r>
              <w:rPr>
                <w:rFonts w:ascii="Arial" w:hAnsi="Arial" w:cs="Arial"/>
                <w:szCs w:val="24"/>
              </w:rPr>
              <w:t>Non-Formulary,</w:t>
            </w:r>
            <w:r w:rsidRPr="009C284A">
              <w:rPr>
                <w:rFonts w:ascii="Arial" w:hAnsi="Arial" w:cs="Arial"/>
                <w:szCs w:val="24"/>
              </w:rPr>
              <w:t xml:space="preserve"> Prior Authorization</w:t>
            </w:r>
          </w:p>
        </w:tc>
        <w:tc>
          <w:tcPr>
            <w:tcW w:w="3690" w:type="dxa"/>
            <w:vAlign w:val="center"/>
          </w:tcPr>
          <w:p w14:paraId="0965F5E0" w14:textId="6A8E489A" w:rsidR="009C284A" w:rsidRPr="00506816" w:rsidRDefault="00506816" w:rsidP="00506816">
            <w:pPr>
              <w:rPr>
                <w:rFonts w:ascii="Arial" w:hAnsi="Arial" w:cs="Arial"/>
                <w:color w:val="000000"/>
                <w:szCs w:val="24"/>
              </w:rPr>
            </w:pPr>
            <w:r w:rsidRPr="00506816">
              <w:rPr>
                <w:rFonts w:ascii="Arial" w:hAnsi="Arial" w:cs="Arial"/>
                <w:color w:val="000000"/>
                <w:szCs w:val="24"/>
              </w:rPr>
              <w:t>New medications and formulations wi</w:t>
            </w:r>
            <w:r>
              <w:rPr>
                <w:rFonts w:ascii="Arial" w:hAnsi="Arial" w:cs="Arial"/>
                <w:color w:val="000000"/>
                <w:szCs w:val="24"/>
              </w:rPr>
              <w:t>thout established benefit</w:t>
            </w:r>
          </w:p>
        </w:tc>
      </w:tr>
      <w:tr w:rsidR="009C284A" w:rsidRPr="000C1195" w14:paraId="397E1313" w14:textId="77777777" w:rsidTr="007E7F81">
        <w:tc>
          <w:tcPr>
            <w:tcW w:w="3235" w:type="dxa"/>
            <w:vAlign w:val="center"/>
          </w:tcPr>
          <w:p w14:paraId="5492E211" w14:textId="189E364F" w:rsidR="009C284A" w:rsidRPr="009C284A" w:rsidRDefault="00506816" w:rsidP="00506816">
            <w:pPr>
              <w:rPr>
                <w:rFonts w:ascii="Arial" w:hAnsi="Arial" w:cs="Arial"/>
                <w:b/>
                <w:szCs w:val="24"/>
              </w:rPr>
            </w:pPr>
            <w:proofErr w:type="spellStart"/>
            <w:r w:rsidRPr="00506816">
              <w:rPr>
                <w:rFonts w:ascii="Arial" w:hAnsi="Arial" w:cs="Arial"/>
                <w:b/>
                <w:szCs w:val="24"/>
              </w:rPr>
              <w:t>Remdesivir</w:t>
            </w:r>
            <w:proofErr w:type="spellEnd"/>
            <w:r w:rsidRPr="00506816">
              <w:rPr>
                <w:rFonts w:ascii="Arial" w:hAnsi="Arial" w:cs="Arial"/>
                <w:b/>
                <w:szCs w:val="24"/>
              </w:rPr>
              <w:t xml:space="preserve"> (</w:t>
            </w:r>
            <w:proofErr w:type="spellStart"/>
            <w:r w:rsidRPr="00506816">
              <w:rPr>
                <w:rFonts w:ascii="Arial" w:hAnsi="Arial" w:cs="Arial"/>
                <w:b/>
                <w:szCs w:val="24"/>
              </w:rPr>
              <w:t>Veklury</w:t>
            </w:r>
            <w:proofErr w:type="spellEnd"/>
            <w:r w:rsidRPr="00506816">
              <w:rPr>
                <w:rFonts w:ascii="Arial" w:hAnsi="Arial" w:cs="Arial"/>
                <w:b/>
                <w:szCs w:val="24"/>
              </w:rPr>
              <w:t>®) Vial</w:t>
            </w:r>
          </w:p>
        </w:tc>
        <w:tc>
          <w:tcPr>
            <w:tcW w:w="6300" w:type="dxa"/>
            <w:vAlign w:val="center"/>
          </w:tcPr>
          <w:p w14:paraId="21F79539" w14:textId="15B044FC" w:rsidR="009C284A" w:rsidRPr="00506816" w:rsidRDefault="00506816" w:rsidP="00506816">
            <w:pPr>
              <w:tabs>
                <w:tab w:val="center" w:pos="1402"/>
              </w:tabs>
              <w:rPr>
                <w:rFonts w:ascii="Arial" w:hAnsi="Arial" w:cs="Arial"/>
                <w:b/>
                <w:szCs w:val="24"/>
              </w:rPr>
            </w:pPr>
            <w:r>
              <w:rPr>
                <w:rFonts w:ascii="Arial" w:hAnsi="Arial" w:cs="Arial"/>
                <w:szCs w:val="24"/>
              </w:rPr>
              <w:t>Medicaid</w:t>
            </w:r>
            <w:r w:rsidRPr="009C284A">
              <w:rPr>
                <w:rFonts w:ascii="Arial" w:hAnsi="Arial" w:cs="Arial"/>
                <w:szCs w:val="24"/>
              </w:rPr>
              <w:t xml:space="preserve">: </w:t>
            </w:r>
            <w:r>
              <w:rPr>
                <w:rFonts w:ascii="Arial" w:hAnsi="Arial" w:cs="Arial"/>
                <w:szCs w:val="24"/>
              </w:rPr>
              <w:t>Medical Benefit</w:t>
            </w:r>
          </w:p>
        </w:tc>
        <w:tc>
          <w:tcPr>
            <w:tcW w:w="3690" w:type="dxa"/>
            <w:vAlign w:val="center"/>
          </w:tcPr>
          <w:p w14:paraId="32246687" w14:textId="4D951BFC" w:rsidR="009C284A" w:rsidRPr="00506816" w:rsidRDefault="009C284A" w:rsidP="00506816">
            <w:pPr>
              <w:rPr>
                <w:rFonts w:ascii="Arial" w:hAnsi="Arial" w:cs="Arial"/>
                <w:color w:val="000000"/>
                <w:szCs w:val="24"/>
              </w:rPr>
            </w:pPr>
          </w:p>
        </w:tc>
      </w:tr>
      <w:tr w:rsidR="009C284A" w:rsidRPr="000C1195" w14:paraId="3886D488" w14:textId="77777777" w:rsidTr="007E7F81">
        <w:tc>
          <w:tcPr>
            <w:tcW w:w="3235" w:type="dxa"/>
            <w:vAlign w:val="center"/>
          </w:tcPr>
          <w:p w14:paraId="55FBB826" w14:textId="4927E73C" w:rsidR="009C284A" w:rsidRPr="009C284A" w:rsidRDefault="00506816" w:rsidP="00506816">
            <w:pPr>
              <w:rPr>
                <w:rFonts w:ascii="Arial" w:hAnsi="Arial" w:cs="Arial"/>
                <w:b/>
                <w:szCs w:val="24"/>
              </w:rPr>
            </w:pPr>
            <w:proofErr w:type="spellStart"/>
            <w:r w:rsidRPr="00506816">
              <w:rPr>
                <w:rFonts w:ascii="Arial" w:hAnsi="Arial" w:cs="Arial"/>
                <w:b/>
                <w:szCs w:val="24"/>
              </w:rPr>
              <w:t>Lumasiran</w:t>
            </w:r>
            <w:proofErr w:type="spellEnd"/>
            <w:r w:rsidRPr="00506816">
              <w:rPr>
                <w:rFonts w:ascii="Arial" w:hAnsi="Arial" w:cs="Arial"/>
                <w:b/>
                <w:szCs w:val="24"/>
              </w:rPr>
              <w:t xml:space="preserve"> sodium (</w:t>
            </w:r>
            <w:proofErr w:type="spellStart"/>
            <w:r w:rsidRPr="00506816">
              <w:rPr>
                <w:rFonts w:ascii="Arial" w:hAnsi="Arial" w:cs="Arial"/>
                <w:b/>
                <w:szCs w:val="24"/>
              </w:rPr>
              <w:t>Oxlumo</w:t>
            </w:r>
            <w:proofErr w:type="spellEnd"/>
            <w:r w:rsidRPr="00506816">
              <w:rPr>
                <w:rFonts w:ascii="Arial" w:hAnsi="Arial" w:cs="Arial"/>
                <w:b/>
                <w:szCs w:val="24"/>
              </w:rPr>
              <w:t>®) Vial</w:t>
            </w:r>
          </w:p>
        </w:tc>
        <w:tc>
          <w:tcPr>
            <w:tcW w:w="6300" w:type="dxa"/>
            <w:vAlign w:val="center"/>
          </w:tcPr>
          <w:p w14:paraId="34D47ADF" w14:textId="710ACBA1" w:rsidR="009C284A" w:rsidRPr="00506816" w:rsidRDefault="00506816" w:rsidP="00506816">
            <w:pPr>
              <w:rPr>
                <w:rFonts w:ascii="Arial" w:hAnsi="Arial" w:cs="Arial"/>
                <w:b/>
                <w:szCs w:val="24"/>
              </w:rPr>
            </w:pPr>
            <w:r>
              <w:rPr>
                <w:rFonts w:ascii="Arial" w:hAnsi="Arial" w:cs="Arial"/>
                <w:szCs w:val="24"/>
              </w:rPr>
              <w:t>Medicaid</w:t>
            </w:r>
            <w:r w:rsidRPr="009C284A">
              <w:rPr>
                <w:rFonts w:ascii="Arial" w:hAnsi="Arial" w:cs="Arial"/>
                <w:szCs w:val="24"/>
              </w:rPr>
              <w:t xml:space="preserve">: </w:t>
            </w:r>
            <w:r>
              <w:rPr>
                <w:rFonts w:ascii="Arial" w:hAnsi="Arial" w:cs="Arial"/>
                <w:szCs w:val="24"/>
              </w:rPr>
              <w:t>Medical Benefit,</w:t>
            </w:r>
            <w:r w:rsidRPr="009C284A">
              <w:rPr>
                <w:rFonts w:ascii="Arial" w:hAnsi="Arial" w:cs="Arial"/>
                <w:szCs w:val="24"/>
              </w:rPr>
              <w:t xml:space="preserve"> Prior Authorization</w:t>
            </w:r>
          </w:p>
        </w:tc>
        <w:tc>
          <w:tcPr>
            <w:tcW w:w="3690" w:type="dxa"/>
            <w:vAlign w:val="center"/>
          </w:tcPr>
          <w:p w14:paraId="567A9A85" w14:textId="69E1E202" w:rsidR="009C284A" w:rsidRPr="00506816" w:rsidRDefault="00506816" w:rsidP="00506816">
            <w:pPr>
              <w:rPr>
                <w:rFonts w:ascii="Arial" w:hAnsi="Arial" w:cs="Arial"/>
                <w:color w:val="000000"/>
                <w:szCs w:val="24"/>
              </w:rPr>
            </w:pPr>
            <w:proofErr w:type="spellStart"/>
            <w:r>
              <w:rPr>
                <w:rFonts w:ascii="Arial" w:hAnsi="Arial" w:cs="Arial"/>
                <w:color w:val="000000"/>
                <w:szCs w:val="24"/>
              </w:rPr>
              <w:t>Oxlumo</w:t>
            </w:r>
            <w:proofErr w:type="spellEnd"/>
          </w:p>
        </w:tc>
      </w:tr>
      <w:tr w:rsidR="009C284A" w:rsidRPr="000C1195" w14:paraId="344120DD" w14:textId="77777777" w:rsidTr="007E7F81">
        <w:tc>
          <w:tcPr>
            <w:tcW w:w="3235" w:type="dxa"/>
            <w:vAlign w:val="center"/>
          </w:tcPr>
          <w:p w14:paraId="28CFDC5F" w14:textId="71C3FA9C" w:rsidR="009C284A" w:rsidRPr="009C284A" w:rsidRDefault="00506816" w:rsidP="00506816">
            <w:pPr>
              <w:rPr>
                <w:rFonts w:ascii="Arial" w:hAnsi="Arial" w:cs="Arial"/>
                <w:b/>
                <w:szCs w:val="24"/>
              </w:rPr>
            </w:pPr>
            <w:proofErr w:type="spellStart"/>
            <w:r w:rsidRPr="00506816">
              <w:rPr>
                <w:rFonts w:ascii="Arial" w:hAnsi="Arial" w:cs="Arial"/>
                <w:b/>
                <w:szCs w:val="24"/>
              </w:rPr>
              <w:t>Oxybates</w:t>
            </w:r>
            <w:proofErr w:type="spellEnd"/>
            <w:r w:rsidRPr="00506816">
              <w:rPr>
                <w:rFonts w:ascii="Arial" w:hAnsi="Arial" w:cs="Arial"/>
                <w:b/>
                <w:szCs w:val="24"/>
              </w:rPr>
              <w:t xml:space="preserve"> salts (calcium, magnesium, potassium, and sodium) oral solution (</w:t>
            </w:r>
            <w:proofErr w:type="spellStart"/>
            <w:r w:rsidRPr="00506816">
              <w:rPr>
                <w:rFonts w:ascii="Arial" w:hAnsi="Arial" w:cs="Arial"/>
                <w:b/>
                <w:szCs w:val="24"/>
              </w:rPr>
              <w:t>Xywav</w:t>
            </w:r>
            <w:proofErr w:type="spellEnd"/>
            <w:r w:rsidRPr="00506816">
              <w:rPr>
                <w:rFonts w:ascii="Arial" w:hAnsi="Arial" w:cs="Arial"/>
                <w:b/>
                <w:szCs w:val="24"/>
              </w:rPr>
              <w:t>)</w:t>
            </w:r>
          </w:p>
        </w:tc>
        <w:tc>
          <w:tcPr>
            <w:tcW w:w="6300" w:type="dxa"/>
            <w:vAlign w:val="center"/>
          </w:tcPr>
          <w:p w14:paraId="4945FD55" w14:textId="234DA501" w:rsidR="009C284A" w:rsidRPr="00506816" w:rsidRDefault="00506816" w:rsidP="003D7F23">
            <w:pPr>
              <w:pStyle w:val="ListParagraph"/>
              <w:numPr>
                <w:ilvl w:val="0"/>
                <w:numId w:val="9"/>
              </w:numPr>
              <w:tabs>
                <w:tab w:val="center" w:pos="1402"/>
              </w:tabs>
              <w:rPr>
                <w:rFonts w:ascii="Arial" w:hAnsi="Arial" w:cs="Arial"/>
                <w:szCs w:val="24"/>
              </w:rPr>
            </w:pPr>
            <w:r w:rsidRPr="00506816">
              <w:rPr>
                <w:rFonts w:ascii="Arial" w:hAnsi="Arial" w:cs="Arial"/>
                <w:szCs w:val="24"/>
              </w:rPr>
              <w:t xml:space="preserve">Medicaid: Formulary, </w:t>
            </w:r>
            <w:r w:rsidRPr="009C284A">
              <w:rPr>
                <w:rFonts w:ascii="Arial" w:hAnsi="Arial" w:cs="Arial"/>
                <w:szCs w:val="24"/>
              </w:rPr>
              <w:t>Prior Authorization</w:t>
            </w:r>
          </w:p>
        </w:tc>
        <w:tc>
          <w:tcPr>
            <w:tcW w:w="3690" w:type="dxa"/>
            <w:vAlign w:val="center"/>
          </w:tcPr>
          <w:p w14:paraId="1D147109" w14:textId="6A86AA33" w:rsidR="009C284A" w:rsidRPr="00506816" w:rsidRDefault="00506816" w:rsidP="00506816">
            <w:pPr>
              <w:rPr>
                <w:rFonts w:ascii="Arial" w:hAnsi="Arial" w:cs="Arial"/>
                <w:color w:val="000000"/>
                <w:szCs w:val="24"/>
              </w:rPr>
            </w:pPr>
            <w:proofErr w:type="spellStart"/>
            <w:r w:rsidRPr="00506816">
              <w:rPr>
                <w:rFonts w:ascii="Arial" w:hAnsi="Arial" w:cs="Arial"/>
                <w:color w:val="000000"/>
                <w:szCs w:val="24"/>
              </w:rPr>
              <w:t>Xyrem</w:t>
            </w:r>
            <w:proofErr w:type="spellEnd"/>
            <w:r w:rsidRPr="00506816">
              <w:rPr>
                <w:rFonts w:ascii="Arial" w:hAnsi="Arial" w:cs="Arial"/>
                <w:color w:val="000000"/>
                <w:szCs w:val="24"/>
              </w:rPr>
              <w:t xml:space="preserve"> and </w:t>
            </w:r>
            <w:proofErr w:type="spellStart"/>
            <w:r w:rsidRPr="00506816">
              <w:rPr>
                <w:rFonts w:ascii="Arial" w:hAnsi="Arial" w:cs="Arial"/>
                <w:color w:val="000000"/>
                <w:szCs w:val="24"/>
              </w:rPr>
              <w:t>Xywav</w:t>
            </w:r>
            <w:proofErr w:type="spellEnd"/>
          </w:p>
        </w:tc>
      </w:tr>
    </w:tbl>
    <w:p w14:paraId="19CAC3C3" w14:textId="2F1F7668" w:rsidR="00BC0AEB" w:rsidRPr="00BC0AEB" w:rsidRDefault="00BE36E2" w:rsidP="00BC0AEB">
      <w:pPr>
        <w:pStyle w:val="NoSpacing"/>
        <w:spacing w:after="200"/>
        <w:ind w:left="360"/>
        <w:rPr>
          <w:rFonts w:ascii="Arial" w:hAnsi="Arial" w:cs="Arial"/>
          <w:sz w:val="24"/>
          <w:szCs w:val="24"/>
        </w:rPr>
      </w:pPr>
      <w:r>
        <w:rPr>
          <w:rFonts w:ascii="Arial" w:hAnsi="Arial" w:cs="Arial"/>
          <w:sz w:val="24"/>
          <w:szCs w:val="24"/>
        </w:rPr>
        <w:tab/>
      </w:r>
    </w:p>
    <w:sectPr w:rsidR="00BC0AEB" w:rsidRPr="00BC0AEB" w:rsidSect="00EF1E5F">
      <w:headerReference w:type="default" r:id="rId14"/>
      <w:footerReference w:type="default" r:id="rId15"/>
      <w:pgSz w:w="15840" w:h="12240" w:orient="landscape"/>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D163B" w14:textId="77777777" w:rsidR="00F361FA" w:rsidRDefault="00F361FA" w:rsidP="00964D0F">
      <w:r>
        <w:separator/>
      </w:r>
    </w:p>
  </w:endnote>
  <w:endnote w:type="continuationSeparator" w:id="0">
    <w:p w14:paraId="72103824" w14:textId="77777777" w:rsidR="00F361FA" w:rsidRDefault="00F361FA" w:rsidP="00964D0F">
      <w:r>
        <w:continuationSeparator/>
      </w:r>
    </w:p>
  </w:endnote>
  <w:endnote w:type="continuationNotice" w:id="1">
    <w:p w14:paraId="2D31D4FF" w14:textId="77777777" w:rsidR="00F361FA" w:rsidRDefault="00F36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2E4C" w14:textId="0AF741B6" w:rsidR="00F361FA" w:rsidRPr="000133DE" w:rsidRDefault="00F361FA">
    <w:pPr>
      <w:pStyle w:val="Footer"/>
      <w:pBdr>
        <w:top w:val="thinThickSmallGap" w:sz="24" w:space="1" w:color="622423" w:themeColor="accent2" w:themeShade="7F"/>
      </w:pBdr>
      <w:rPr>
        <w:rFonts w:ascii="Arial" w:eastAsiaTheme="majorEastAsia" w:hAnsi="Arial" w:cs="Arial"/>
        <w:sz w:val="22"/>
        <w:szCs w:val="22"/>
      </w:rPr>
    </w:pPr>
    <w:r>
      <w:rPr>
        <w:rFonts w:ascii="Arial" w:eastAsiaTheme="majorEastAsia" w:hAnsi="Arial" w:cs="Arial"/>
        <w:sz w:val="22"/>
        <w:szCs w:val="22"/>
      </w:rPr>
      <w:t xml:space="preserve">Date Posted: </w:t>
    </w:r>
    <w:r w:rsidRPr="000133DE">
      <w:rPr>
        <w:rFonts w:ascii="Arial" w:eastAsiaTheme="majorEastAsia" w:hAnsi="Arial" w:cs="Arial"/>
        <w:sz w:val="22"/>
        <w:szCs w:val="22"/>
      </w:rPr>
      <w:t xml:space="preserve"> </w:t>
    </w:r>
    <w:r w:rsidR="009C284A">
      <w:rPr>
        <w:rFonts w:ascii="Arial" w:eastAsiaTheme="majorEastAsia" w:hAnsi="Arial" w:cs="Arial"/>
        <w:sz w:val="22"/>
        <w:szCs w:val="22"/>
      </w:rPr>
      <w:t>3</w:t>
    </w:r>
    <w:r>
      <w:rPr>
        <w:rFonts w:ascii="Arial" w:eastAsiaTheme="majorEastAsia" w:hAnsi="Arial" w:cs="Arial"/>
        <w:sz w:val="22"/>
        <w:szCs w:val="22"/>
      </w:rPr>
      <w:t>/1/2021</w:t>
    </w:r>
    <w:r w:rsidRPr="000133DE">
      <w:rPr>
        <w:rFonts w:ascii="Arial" w:eastAsiaTheme="majorEastAsia" w:hAnsi="Arial" w:cs="Arial"/>
        <w:sz w:val="22"/>
        <w:szCs w:val="22"/>
      </w:rPr>
      <w:ptab w:relativeTo="margin" w:alignment="right" w:leader="none"/>
    </w:r>
    <w:r w:rsidRPr="000133DE">
      <w:rPr>
        <w:rFonts w:ascii="Arial" w:eastAsiaTheme="majorEastAsia" w:hAnsi="Arial" w:cs="Arial"/>
        <w:sz w:val="22"/>
        <w:szCs w:val="22"/>
      </w:rPr>
      <w:t xml:space="preserve">Page </w:t>
    </w:r>
    <w:r w:rsidRPr="000133DE">
      <w:rPr>
        <w:rFonts w:ascii="Arial" w:eastAsiaTheme="minorEastAsia" w:hAnsi="Arial" w:cs="Arial"/>
        <w:sz w:val="22"/>
        <w:szCs w:val="22"/>
      </w:rPr>
      <w:fldChar w:fldCharType="begin"/>
    </w:r>
    <w:r w:rsidRPr="000133DE">
      <w:rPr>
        <w:rFonts w:ascii="Arial" w:hAnsi="Arial" w:cs="Arial"/>
        <w:sz w:val="22"/>
        <w:szCs w:val="22"/>
      </w:rPr>
      <w:instrText xml:space="preserve"> PAGE   \* MERGEFORMAT </w:instrText>
    </w:r>
    <w:r w:rsidRPr="000133DE">
      <w:rPr>
        <w:rFonts w:ascii="Arial" w:eastAsiaTheme="minorEastAsia" w:hAnsi="Arial" w:cs="Arial"/>
        <w:sz w:val="22"/>
        <w:szCs w:val="22"/>
      </w:rPr>
      <w:fldChar w:fldCharType="separate"/>
    </w:r>
    <w:r w:rsidR="007B210D" w:rsidRPr="007B210D">
      <w:rPr>
        <w:rFonts w:ascii="Arial" w:eastAsiaTheme="majorEastAsia" w:hAnsi="Arial" w:cs="Arial"/>
        <w:noProof/>
        <w:sz w:val="22"/>
        <w:szCs w:val="22"/>
      </w:rPr>
      <w:t>2</w:t>
    </w:r>
    <w:r w:rsidRPr="000133DE">
      <w:rPr>
        <w:rFonts w:ascii="Arial" w:eastAsiaTheme="majorEastAsia" w:hAnsi="Arial" w:cs="Arial"/>
        <w:noProof/>
        <w:sz w:val="22"/>
        <w:szCs w:val="22"/>
      </w:rPr>
      <w:fldChar w:fldCharType="end"/>
    </w:r>
  </w:p>
  <w:p w14:paraId="4BD7CD16" w14:textId="77777777" w:rsidR="00F361FA" w:rsidRPr="000133DE" w:rsidRDefault="00F361FA">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CEB95" w14:textId="77777777" w:rsidR="00F361FA" w:rsidRDefault="00F361FA" w:rsidP="00964D0F">
      <w:r>
        <w:separator/>
      </w:r>
    </w:p>
  </w:footnote>
  <w:footnote w:type="continuationSeparator" w:id="0">
    <w:p w14:paraId="3C3F032A" w14:textId="77777777" w:rsidR="00F361FA" w:rsidRDefault="00F361FA" w:rsidP="00964D0F">
      <w:r>
        <w:continuationSeparator/>
      </w:r>
    </w:p>
  </w:footnote>
  <w:footnote w:type="continuationNotice" w:id="1">
    <w:p w14:paraId="5F72E8B0" w14:textId="77777777" w:rsidR="00F361FA" w:rsidRDefault="00F361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CCE0" w14:textId="0C6BBA6C" w:rsidR="00F361FA" w:rsidRDefault="00EF1E5F" w:rsidP="00300CD3">
    <w:pPr>
      <w:pStyle w:val="Header"/>
      <w:jc w:val="right"/>
    </w:pPr>
    <w:r w:rsidRPr="00DD1B0C">
      <w:rPr>
        <w:noProof/>
        <w:color w:val="0D0D0D"/>
        <w:szCs w:val="24"/>
      </w:rPr>
      <w:drawing>
        <wp:anchor distT="0" distB="0" distL="114300" distR="114300" simplePos="0" relativeHeight="251659264" behindDoc="1" locked="0" layoutInCell="1" allowOverlap="1" wp14:anchorId="6F162D39" wp14:editId="0A9DCDA1">
          <wp:simplePos x="0" y="0"/>
          <wp:positionH relativeFrom="margin">
            <wp:posOffset>6505575</wp:posOffset>
          </wp:positionH>
          <wp:positionV relativeFrom="paragraph">
            <wp:posOffset>-714375</wp:posOffset>
          </wp:positionV>
          <wp:extent cx="1983740" cy="898525"/>
          <wp:effectExtent l="0" t="0" r="0" b="0"/>
          <wp:wrapTight wrapText="bothSides">
            <wp:wrapPolygon edited="0">
              <wp:start x="830" y="0"/>
              <wp:lineTo x="0" y="916"/>
              <wp:lineTo x="0" y="20608"/>
              <wp:lineTo x="830" y="21066"/>
              <wp:lineTo x="20535" y="21066"/>
              <wp:lineTo x="21365" y="20608"/>
              <wp:lineTo x="21365" y="916"/>
              <wp:lineTo x="20535" y="0"/>
              <wp:lineTo x="83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8985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361FA">
      <w:tab/>
    </w:r>
    <w:r w:rsidR="00F361FA">
      <w:tab/>
    </w:r>
  </w:p>
  <w:p w14:paraId="2DF1962A" w14:textId="7592664E" w:rsidR="00F361FA" w:rsidRDefault="00F36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BBE"/>
    <w:multiLevelType w:val="hybridMultilevel"/>
    <w:tmpl w:val="C6C4C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D657F9"/>
    <w:multiLevelType w:val="hybridMultilevel"/>
    <w:tmpl w:val="FDD69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E6363"/>
    <w:multiLevelType w:val="hybridMultilevel"/>
    <w:tmpl w:val="2146C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8A5642"/>
    <w:multiLevelType w:val="hybridMultilevel"/>
    <w:tmpl w:val="632AD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D927F4"/>
    <w:multiLevelType w:val="hybridMultilevel"/>
    <w:tmpl w:val="089CC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DE70AB"/>
    <w:multiLevelType w:val="hybridMultilevel"/>
    <w:tmpl w:val="1BEEC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E407EF"/>
    <w:multiLevelType w:val="hybridMultilevel"/>
    <w:tmpl w:val="F326B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820319"/>
    <w:multiLevelType w:val="hybridMultilevel"/>
    <w:tmpl w:val="EF88E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050896"/>
    <w:multiLevelType w:val="hybridMultilevel"/>
    <w:tmpl w:val="22E6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31DEC"/>
    <w:multiLevelType w:val="hybridMultilevel"/>
    <w:tmpl w:val="102E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A4920"/>
    <w:multiLevelType w:val="hybridMultilevel"/>
    <w:tmpl w:val="74182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2"/>
  </w:num>
  <w:num w:numId="4">
    <w:abstractNumId w:val="1"/>
  </w:num>
  <w:num w:numId="5">
    <w:abstractNumId w:val="9"/>
  </w:num>
  <w:num w:numId="6">
    <w:abstractNumId w:val="6"/>
  </w:num>
  <w:num w:numId="7">
    <w:abstractNumId w:val="3"/>
  </w:num>
  <w:num w:numId="8">
    <w:abstractNumId w:val="4"/>
  </w:num>
  <w:num w:numId="9">
    <w:abstractNumId w:val="0"/>
  </w:num>
  <w:num w:numId="10">
    <w:abstractNumId w:val="8"/>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1B"/>
    <w:rsid w:val="00002FE8"/>
    <w:rsid w:val="0000349E"/>
    <w:rsid w:val="0000707A"/>
    <w:rsid w:val="000133DE"/>
    <w:rsid w:val="00013BAF"/>
    <w:rsid w:val="000146D0"/>
    <w:rsid w:val="00016C33"/>
    <w:rsid w:val="000200B2"/>
    <w:rsid w:val="00021EB5"/>
    <w:rsid w:val="000265E9"/>
    <w:rsid w:val="00027ABA"/>
    <w:rsid w:val="00027BB6"/>
    <w:rsid w:val="0003001D"/>
    <w:rsid w:val="000302B0"/>
    <w:rsid w:val="00036009"/>
    <w:rsid w:val="00036CC4"/>
    <w:rsid w:val="00042B08"/>
    <w:rsid w:val="00043547"/>
    <w:rsid w:val="00046D72"/>
    <w:rsid w:val="000532E4"/>
    <w:rsid w:val="00054D1D"/>
    <w:rsid w:val="000638B3"/>
    <w:rsid w:val="00067213"/>
    <w:rsid w:val="0007255C"/>
    <w:rsid w:val="00073DF9"/>
    <w:rsid w:val="00074E7D"/>
    <w:rsid w:val="00075EE7"/>
    <w:rsid w:val="00075EF9"/>
    <w:rsid w:val="00076BAE"/>
    <w:rsid w:val="00081BE8"/>
    <w:rsid w:val="000830BB"/>
    <w:rsid w:val="00084613"/>
    <w:rsid w:val="00085B3F"/>
    <w:rsid w:val="00090B36"/>
    <w:rsid w:val="000925C3"/>
    <w:rsid w:val="000967BE"/>
    <w:rsid w:val="00096E83"/>
    <w:rsid w:val="000A12AF"/>
    <w:rsid w:val="000A1A21"/>
    <w:rsid w:val="000A1AE5"/>
    <w:rsid w:val="000A358A"/>
    <w:rsid w:val="000B132B"/>
    <w:rsid w:val="000B35D5"/>
    <w:rsid w:val="000B43F3"/>
    <w:rsid w:val="000C1195"/>
    <w:rsid w:val="000C31E0"/>
    <w:rsid w:val="000C4137"/>
    <w:rsid w:val="000C5124"/>
    <w:rsid w:val="000D0B31"/>
    <w:rsid w:val="000D5B25"/>
    <w:rsid w:val="000D670A"/>
    <w:rsid w:val="000E0356"/>
    <w:rsid w:val="000E2036"/>
    <w:rsid w:val="000E2C58"/>
    <w:rsid w:val="000F3E1D"/>
    <w:rsid w:val="000F7B5F"/>
    <w:rsid w:val="001047BC"/>
    <w:rsid w:val="0010760D"/>
    <w:rsid w:val="00112E92"/>
    <w:rsid w:val="00112FED"/>
    <w:rsid w:val="0011323B"/>
    <w:rsid w:val="001148DE"/>
    <w:rsid w:val="00115AC2"/>
    <w:rsid w:val="00116386"/>
    <w:rsid w:val="0012018D"/>
    <w:rsid w:val="00125704"/>
    <w:rsid w:val="0012774C"/>
    <w:rsid w:val="001313B0"/>
    <w:rsid w:val="001357E9"/>
    <w:rsid w:val="00135C4E"/>
    <w:rsid w:val="00136F57"/>
    <w:rsid w:val="001373D1"/>
    <w:rsid w:val="00137C65"/>
    <w:rsid w:val="00142E1F"/>
    <w:rsid w:val="00144B4B"/>
    <w:rsid w:val="001461C0"/>
    <w:rsid w:val="00151C09"/>
    <w:rsid w:val="00151DA7"/>
    <w:rsid w:val="00152F1C"/>
    <w:rsid w:val="00160416"/>
    <w:rsid w:val="0016376A"/>
    <w:rsid w:val="00164DAC"/>
    <w:rsid w:val="001723DC"/>
    <w:rsid w:val="001867C1"/>
    <w:rsid w:val="00187134"/>
    <w:rsid w:val="0019004A"/>
    <w:rsid w:val="00194389"/>
    <w:rsid w:val="00196BC8"/>
    <w:rsid w:val="00197C21"/>
    <w:rsid w:val="001A05A8"/>
    <w:rsid w:val="001A1150"/>
    <w:rsid w:val="001A3DBD"/>
    <w:rsid w:val="001A4CE5"/>
    <w:rsid w:val="001A7BC7"/>
    <w:rsid w:val="001B22DB"/>
    <w:rsid w:val="001B54AA"/>
    <w:rsid w:val="001C412C"/>
    <w:rsid w:val="001D3525"/>
    <w:rsid w:val="001D4ED0"/>
    <w:rsid w:val="001E0386"/>
    <w:rsid w:val="001E2920"/>
    <w:rsid w:val="001E3F09"/>
    <w:rsid w:val="001F26AE"/>
    <w:rsid w:val="001F398C"/>
    <w:rsid w:val="001F5CEB"/>
    <w:rsid w:val="001F7F7C"/>
    <w:rsid w:val="00204D3E"/>
    <w:rsid w:val="00210485"/>
    <w:rsid w:val="00210A28"/>
    <w:rsid w:val="00213AD1"/>
    <w:rsid w:val="00213D61"/>
    <w:rsid w:val="002143C6"/>
    <w:rsid w:val="00221020"/>
    <w:rsid w:val="00221441"/>
    <w:rsid w:val="002269AF"/>
    <w:rsid w:val="002347BC"/>
    <w:rsid w:val="00234B23"/>
    <w:rsid w:val="00236A42"/>
    <w:rsid w:val="00237CBA"/>
    <w:rsid w:val="00241011"/>
    <w:rsid w:val="00243DBD"/>
    <w:rsid w:val="002455BB"/>
    <w:rsid w:val="00247114"/>
    <w:rsid w:val="00251CB1"/>
    <w:rsid w:val="00255301"/>
    <w:rsid w:val="00257713"/>
    <w:rsid w:val="00260815"/>
    <w:rsid w:val="00261838"/>
    <w:rsid w:val="0026454B"/>
    <w:rsid w:val="002715CF"/>
    <w:rsid w:val="00274B91"/>
    <w:rsid w:val="00274F54"/>
    <w:rsid w:val="00276ED8"/>
    <w:rsid w:val="002875A2"/>
    <w:rsid w:val="002939B0"/>
    <w:rsid w:val="002942E3"/>
    <w:rsid w:val="002A1DC7"/>
    <w:rsid w:val="002A3683"/>
    <w:rsid w:val="002A4E43"/>
    <w:rsid w:val="002A55AF"/>
    <w:rsid w:val="002A7512"/>
    <w:rsid w:val="002A7BA7"/>
    <w:rsid w:val="002B0FF2"/>
    <w:rsid w:val="002B1650"/>
    <w:rsid w:val="002B3F11"/>
    <w:rsid w:val="002C2830"/>
    <w:rsid w:val="002D2565"/>
    <w:rsid w:val="002E0ECE"/>
    <w:rsid w:val="002E0F6C"/>
    <w:rsid w:val="002E32C2"/>
    <w:rsid w:val="002E65A3"/>
    <w:rsid w:val="002F06F2"/>
    <w:rsid w:val="002F1444"/>
    <w:rsid w:val="002F3C95"/>
    <w:rsid w:val="002F5BB4"/>
    <w:rsid w:val="002F64CF"/>
    <w:rsid w:val="002F66C6"/>
    <w:rsid w:val="00300CD3"/>
    <w:rsid w:val="003034AE"/>
    <w:rsid w:val="0030531A"/>
    <w:rsid w:val="0031016D"/>
    <w:rsid w:val="003112E3"/>
    <w:rsid w:val="00311EED"/>
    <w:rsid w:val="00312E4F"/>
    <w:rsid w:val="00313485"/>
    <w:rsid w:val="00314BE6"/>
    <w:rsid w:val="00315BCD"/>
    <w:rsid w:val="003204A7"/>
    <w:rsid w:val="00322AC3"/>
    <w:rsid w:val="00324301"/>
    <w:rsid w:val="00324BE0"/>
    <w:rsid w:val="003268B8"/>
    <w:rsid w:val="00327D6F"/>
    <w:rsid w:val="00330E75"/>
    <w:rsid w:val="00335128"/>
    <w:rsid w:val="0034035D"/>
    <w:rsid w:val="00352319"/>
    <w:rsid w:val="00360784"/>
    <w:rsid w:val="00360D68"/>
    <w:rsid w:val="00362EC8"/>
    <w:rsid w:val="0036460C"/>
    <w:rsid w:val="0037099E"/>
    <w:rsid w:val="00375340"/>
    <w:rsid w:val="00376B06"/>
    <w:rsid w:val="0037736D"/>
    <w:rsid w:val="00384C72"/>
    <w:rsid w:val="003A06F7"/>
    <w:rsid w:val="003A0E76"/>
    <w:rsid w:val="003A4DF5"/>
    <w:rsid w:val="003A5BBA"/>
    <w:rsid w:val="003A5FBF"/>
    <w:rsid w:val="003A61BF"/>
    <w:rsid w:val="003B09D8"/>
    <w:rsid w:val="003B3135"/>
    <w:rsid w:val="003B54E6"/>
    <w:rsid w:val="003C089E"/>
    <w:rsid w:val="003C4A26"/>
    <w:rsid w:val="003C600B"/>
    <w:rsid w:val="003C69CC"/>
    <w:rsid w:val="003D0BCD"/>
    <w:rsid w:val="003D25D0"/>
    <w:rsid w:val="003D41DD"/>
    <w:rsid w:val="003D5F1D"/>
    <w:rsid w:val="003D61D1"/>
    <w:rsid w:val="003D7F23"/>
    <w:rsid w:val="003E0E06"/>
    <w:rsid w:val="003E40A8"/>
    <w:rsid w:val="003F5B6D"/>
    <w:rsid w:val="003F6599"/>
    <w:rsid w:val="003F7593"/>
    <w:rsid w:val="0040078B"/>
    <w:rsid w:val="0040394F"/>
    <w:rsid w:val="00403ADC"/>
    <w:rsid w:val="00405126"/>
    <w:rsid w:val="00411173"/>
    <w:rsid w:val="004146DD"/>
    <w:rsid w:val="004148BF"/>
    <w:rsid w:val="00415D02"/>
    <w:rsid w:val="0042017E"/>
    <w:rsid w:val="00424FC1"/>
    <w:rsid w:val="00434AF9"/>
    <w:rsid w:val="004405D4"/>
    <w:rsid w:val="00441131"/>
    <w:rsid w:val="0044486C"/>
    <w:rsid w:val="004504AF"/>
    <w:rsid w:val="00450D24"/>
    <w:rsid w:val="0045408D"/>
    <w:rsid w:val="00455CC3"/>
    <w:rsid w:val="0045631B"/>
    <w:rsid w:val="00456FFC"/>
    <w:rsid w:val="0046274D"/>
    <w:rsid w:val="00464742"/>
    <w:rsid w:val="00484530"/>
    <w:rsid w:val="004859E4"/>
    <w:rsid w:val="004913A1"/>
    <w:rsid w:val="00491987"/>
    <w:rsid w:val="004922C3"/>
    <w:rsid w:val="00497B65"/>
    <w:rsid w:val="004A253C"/>
    <w:rsid w:val="004A32C7"/>
    <w:rsid w:val="004A4D5F"/>
    <w:rsid w:val="004B027B"/>
    <w:rsid w:val="004B032A"/>
    <w:rsid w:val="004B049B"/>
    <w:rsid w:val="004B6DD5"/>
    <w:rsid w:val="004B7E25"/>
    <w:rsid w:val="004B7E3C"/>
    <w:rsid w:val="004C796B"/>
    <w:rsid w:val="004E6C83"/>
    <w:rsid w:val="004F0F85"/>
    <w:rsid w:val="004F1AF1"/>
    <w:rsid w:val="004F250E"/>
    <w:rsid w:val="004F6E39"/>
    <w:rsid w:val="005038A5"/>
    <w:rsid w:val="00504973"/>
    <w:rsid w:val="00506501"/>
    <w:rsid w:val="00506816"/>
    <w:rsid w:val="00507885"/>
    <w:rsid w:val="005118FE"/>
    <w:rsid w:val="00511FA4"/>
    <w:rsid w:val="0051218C"/>
    <w:rsid w:val="005122DB"/>
    <w:rsid w:val="005128B5"/>
    <w:rsid w:val="005142A0"/>
    <w:rsid w:val="00515833"/>
    <w:rsid w:val="005217C5"/>
    <w:rsid w:val="00527C86"/>
    <w:rsid w:val="00532F08"/>
    <w:rsid w:val="00535A77"/>
    <w:rsid w:val="00540B50"/>
    <w:rsid w:val="00540F04"/>
    <w:rsid w:val="00541E48"/>
    <w:rsid w:val="00541F03"/>
    <w:rsid w:val="005443C3"/>
    <w:rsid w:val="005473BA"/>
    <w:rsid w:val="005516AE"/>
    <w:rsid w:val="00556CCC"/>
    <w:rsid w:val="00557128"/>
    <w:rsid w:val="00560CB6"/>
    <w:rsid w:val="00563233"/>
    <w:rsid w:val="00566B87"/>
    <w:rsid w:val="005700C4"/>
    <w:rsid w:val="0057415E"/>
    <w:rsid w:val="00582AEE"/>
    <w:rsid w:val="00587E24"/>
    <w:rsid w:val="00590BE9"/>
    <w:rsid w:val="005A1B43"/>
    <w:rsid w:val="005A2086"/>
    <w:rsid w:val="005A25BF"/>
    <w:rsid w:val="005A3E1B"/>
    <w:rsid w:val="005A7F07"/>
    <w:rsid w:val="005B08F0"/>
    <w:rsid w:val="005B50F9"/>
    <w:rsid w:val="005B5696"/>
    <w:rsid w:val="005C0CAF"/>
    <w:rsid w:val="005C11DA"/>
    <w:rsid w:val="005C217C"/>
    <w:rsid w:val="005C2E21"/>
    <w:rsid w:val="005C2E51"/>
    <w:rsid w:val="005C59D7"/>
    <w:rsid w:val="005D4C77"/>
    <w:rsid w:val="005D5EA7"/>
    <w:rsid w:val="005D69F7"/>
    <w:rsid w:val="005E5065"/>
    <w:rsid w:val="005E7897"/>
    <w:rsid w:val="005F7A1C"/>
    <w:rsid w:val="00603F1F"/>
    <w:rsid w:val="006046D1"/>
    <w:rsid w:val="00610672"/>
    <w:rsid w:val="00612889"/>
    <w:rsid w:val="00616744"/>
    <w:rsid w:val="006178B4"/>
    <w:rsid w:val="00624407"/>
    <w:rsid w:val="00626EE5"/>
    <w:rsid w:val="00631E78"/>
    <w:rsid w:val="0063208D"/>
    <w:rsid w:val="006328DE"/>
    <w:rsid w:val="0064187D"/>
    <w:rsid w:val="006420C2"/>
    <w:rsid w:val="00645319"/>
    <w:rsid w:val="00645737"/>
    <w:rsid w:val="0064750C"/>
    <w:rsid w:val="0065363B"/>
    <w:rsid w:val="00655627"/>
    <w:rsid w:val="00660C20"/>
    <w:rsid w:val="0066561E"/>
    <w:rsid w:val="0067034C"/>
    <w:rsid w:val="0067175E"/>
    <w:rsid w:val="0067534E"/>
    <w:rsid w:val="0068021D"/>
    <w:rsid w:val="00680C21"/>
    <w:rsid w:val="00681CAA"/>
    <w:rsid w:val="006830A3"/>
    <w:rsid w:val="006834E7"/>
    <w:rsid w:val="006A001F"/>
    <w:rsid w:val="006B049D"/>
    <w:rsid w:val="006B53E3"/>
    <w:rsid w:val="006C1C77"/>
    <w:rsid w:val="006E3879"/>
    <w:rsid w:val="006E5C1E"/>
    <w:rsid w:val="006F1201"/>
    <w:rsid w:val="006F36B9"/>
    <w:rsid w:val="006F459F"/>
    <w:rsid w:val="006F5F06"/>
    <w:rsid w:val="006F6365"/>
    <w:rsid w:val="006F6A91"/>
    <w:rsid w:val="00700AF5"/>
    <w:rsid w:val="00701445"/>
    <w:rsid w:val="00702E66"/>
    <w:rsid w:val="0070305A"/>
    <w:rsid w:val="0070331F"/>
    <w:rsid w:val="00705F28"/>
    <w:rsid w:val="007078AF"/>
    <w:rsid w:val="00712426"/>
    <w:rsid w:val="00720BE9"/>
    <w:rsid w:val="00724091"/>
    <w:rsid w:val="007255A3"/>
    <w:rsid w:val="00725F75"/>
    <w:rsid w:val="007262A1"/>
    <w:rsid w:val="0073003B"/>
    <w:rsid w:val="007377C6"/>
    <w:rsid w:val="0074034D"/>
    <w:rsid w:val="007452EF"/>
    <w:rsid w:val="00747D88"/>
    <w:rsid w:val="0075704B"/>
    <w:rsid w:val="00767ADD"/>
    <w:rsid w:val="00770043"/>
    <w:rsid w:val="00770218"/>
    <w:rsid w:val="00773082"/>
    <w:rsid w:val="00773CC6"/>
    <w:rsid w:val="00774A70"/>
    <w:rsid w:val="00780997"/>
    <w:rsid w:val="007873AB"/>
    <w:rsid w:val="00787AD1"/>
    <w:rsid w:val="0079022C"/>
    <w:rsid w:val="00792537"/>
    <w:rsid w:val="0079336C"/>
    <w:rsid w:val="0079608E"/>
    <w:rsid w:val="007A10EC"/>
    <w:rsid w:val="007A381E"/>
    <w:rsid w:val="007A4E83"/>
    <w:rsid w:val="007A4F2D"/>
    <w:rsid w:val="007B1B2F"/>
    <w:rsid w:val="007B210D"/>
    <w:rsid w:val="007B63EB"/>
    <w:rsid w:val="007B703B"/>
    <w:rsid w:val="007C749A"/>
    <w:rsid w:val="007C7751"/>
    <w:rsid w:val="007D3EBB"/>
    <w:rsid w:val="007D4A27"/>
    <w:rsid w:val="007D4D7F"/>
    <w:rsid w:val="007D7460"/>
    <w:rsid w:val="007E0376"/>
    <w:rsid w:val="007E0837"/>
    <w:rsid w:val="007E0CE8"/>
    <w:rsid w:val="007E30F5"/>
    <w:rsid w:val="007E6680"/>
    <w:rsid w:val="007E6CE3"/>
    <w:rsid w:val="007E7A10"/>
    <w:rsid w:val="007E7F81"/>
    <w:rsid w:val="007F0DC5"/>
    <w:rsid w:val="007F6720"/>
    <w:rsid w:val="007F742E"/>
    <w:rsid w:val="007F7987"/>
    <w:rsid w:val="0080267D"/>
    <w:rsid w:val="0081204E"/>
    <w:rsid w:val="008122B2"/>
    <w:rsid w:val="008222DD"/>
    <w:rsid w:val="0082675E"/>
    <w:rsid w:val="00835561"/>
    <w:rsid w:val="0083711C"/>
    <w:rsid w:val="008408B1"/>
    <w:rsid w:val="00841F44"/>
    <w:rsid w:val="0084347A"/>
    <w:rsid w:val="008449E7"/>
    <w:rsid w:val="00853B4C"/>
    <w:rsid w:val="008550CD"/>
    <w:rsid w:val="00855B5F"/>
    <w:rsid w:val="00855C68"/>
    <w:rsid w:val="0086481C"/>
    <w:rsid w:val="00866FF3"/>
    <w:rsid w:val="00887377"/>
    <w:rsid w:val="008A06BA"/>
    <w:rsid w:val="008A4280"/>
    <w:rsid w:val="008A656B"/>
    <w:rsid w:val="008A7633"/>
    <w:rsid w:val="008B0080"/>
    <w:rsid w:val="008B3651"/>
    <w:rsid w:val="008C0A1D"/>
    <w:rsid w:val="008C540E"/>
    <w:rsid w:val="008D070B"/>
    <w:rsid w:val="008D64EF"/>
    <w:rsid w:val="008D6D24"/>
    <w:rsid w:val="008D7A07"/>
    <w:rsid w:val="008E7DE8"/>
    <w:rsid w:val="008F0CD5"/>
    <w:rsid w:val="008F1C41"/>
    <w:rsid w:val="008F569D"/>
    <w:rsid w:val="008F6D6B"/>
    <w:rsid w:val="00904003"/>
    <w:rsid w:val="00910B3C"/>
    <w:rsid w:val="0091182C"/>
    <w:rsid w:val="0091491A"/>
    <w:rsid w:val="00922324"/>
    <w:rsid w:val="0092283F"/>
    <w:rsid w:val="009232DA"/>
    <w:rsid w:val="00927BF7"/>
    <w:rsid w:val="00932B45"/>
    <w:rsid w:val="00934B4C"/>
    <w:rsid w:val="009350F5"/>
    <w:rsid w:val="009354E3"/>
    <w:rsid w:val="009400A2"/>
    <w:rsid w:val="00940C5A"/>
    <w:rsid w:val="00940F77"/>
    <w:rsid w:val="00941CB1"/>
    <w:rsid w:val="00943A3D"/>
    <w:rsid w:val="009526B1"/>
    <w:rsid w:val="00963344"/>
    <w:rsid w:val="00963EB2"/>
    <w:rsid w:val="00964654"/>
    <w:rsid w:val="00964D0F"/>
    <w:rsid w:val="0097488E"/>
    <w:rsid w:val="00975FE9"/>
    <w:rsid w:val="0098105F"/>
    <w:rsid w:val="00991309"/>
    <w:rsid w:val="009922CD"/>
    <w:rsid w:val="00995D43"/>
    <w:rsid w:val="00996963"/>
    <w:rsid w:val="009A7B74"/>
    <w:rsid w:val="009A7E98"/>
    <w:rsid w:val="009B0402"/>
    <w:rsid w:val="009B2840"/>
    <w:rsid w:val="009B4F3B"/>
    <w:rsid w:val="009B6353"/>
    <w:rsid w:val="009C284A"/>
    <w:rsid w:val="009C36B3"/>
    <w:rsid w:val="009C50DC"/>
    <w:rsid w:val="009C6669"/>
    <w:rsid w:val="009D17C8"/>
    <w:rsid w:val="009D2A19"/>
    <w:rsid w:val="009D66A8"/>
    <w:rsid w:val="009E0002"/>
    <w:rsid w:val="009E02E3"/>
    <w:rsid w:val="009E1E28"/>
    <w:rsid w:val="009E2469"/>
    <w:rsid w:val="009E5254"/>
    <w:rsid w:val="009F2F6C"/>
    <w:rsid w:val="00A00562"/>
    <w:rsid w:val="00A07C2E"/>
    <w:rsid w:val="00A11069"/>
    <w:rsid w:val="00A115FB"/>
    <w:rsid w:val="00A1402F"/>
    <w:rsid w:val="00A211E9"/>
    <w:rsid w:val="00A21E99"/>
    <w:rsid w:val="00A2352C"/>
    <w:rsid w:val="00A27EF2"/>
    <w:rsid w:val="00A349DD"/>
    <w:rsid w:val="00A35175"/>
    <w:rsid w:val="00A374BE"/>
    <w:rsid w:val="00A402A6"/>
    <w:rsid w:val="00A40B39"/>
    <w:rsid w:val="00A4431E"/>
    <w:rsid w:val="00A4532F"/>
    <w:rsid w:val="00A54047"/>
    <w:rsid w:val="00A54E6A"/>
    <w:rsid w:val="00A614CD"/>
    <w:rsid w:val="00A668FE"/>
    <w:rsid w:val="00A70C77"/>
    <w:rsid w:val="00A74420"/>
    <w:rsid w:val="00A760C4"/>
    <w:rsid w:val="00A77051"/>
    <w:rsid w:val="00A776B4"/>
    <w:rsid w:val="00A811AA"/>
    <w:rsid w:val="00A83785"/>
    <w:rsid w:val="00A85788"/>
    <w:rsid w:val="00A938C9"/>
    <w:rsid w:val="00A94311"/>
    <w:rsid w:val="00A9439F"/>
    <w:rsid w:val="00A96AAD"/>
    <w:rsid w:val="00AB3722"/>
    <w:rsid w:val="00AB7ABF"/>
    <w:rsid w:val="00AC4152"/>
    <w:rsid w:val="00AC4EA3"/>
    <w:rsid w:val="00AC7A33"/>
    <w:rsid w:val="00AD6C72"/>
    <w:rsid w:val="00AE33EE"/>
    <w:rsid w:val="00AE3BB9"/>
    <w:rsid w:val="00AF2558"/>
    <w:rsid w:val="00B00F62"/>
    <w:rsid w:val="00B02350"/>
    <w:rsid w:val="00B056E7"/>
    <w:rsid w:val="00B11BCF"/>
    <w:rsid w:val="00B129F6"/>
    <w:rsid w:val="00B14951"/>
    <w:rsid w:val="00B234E8"/>
    <w:rsid w:val="00B23B1B"/>
    <w:rsid w:val="00B24A41"/>
    <w:rsid w:val="00B364C5"/>
    <w:rsid w:val="00B371B7"/>
    <w:rsid w:val="00B42B9B"/>
    <w:rsid w:val="00B43903"/>
    <w:rsid w:val="00B44282"/>
    <w:rsid w:val="00B551CA"/>
    <w:rsid w:val="00B57D0B"/>
    <w:rsid w:val="00B6030C"/>
    <w:rsid w:val="00B6350F"/>
    <w:rsid w:val="00B639ED"/>
    <w:rsid w:val="00B7475F"/>
    <w:rsid w:val="00B747AE"/>
    <w:rsid w:val="00B75091"/>
    <w:rsid w:val="00B77B1D"/>
    <w:rsid w:val="00B91B90"/>
    <w:rsid w:val="00B9380C"/>
    <w:rsid w:val="00B96BBA"/>
    <w:rsid w:val="00BA1A94"/>
    <w:rsid w:val="00BB1995"/>
    <w:rsid w:val="00BB4388"/>
    <w:rsid w:val="00BB4B0B"/>
    <w:rsid w:val="00BB525A"/>
    <w:rsid w:val="00BB5AF3"/>
    <w:rsid w:val="00BB5B99"/>
    <w:rsid w:val="00BB67D5"/>
    <w:rsid w:val="00BB6982"/>
    <w:rsid w:val="00BB772F"/>
    <w:rsid w:val="00BC0AEB"/>
    <w:rsid w:val="00BC0CF5"/>
    <w:rsid w:val="00BC3D40"/>
    <w:rsid w:val="00BD1D5E"/>
    <w:rsid w:val="00BD32EB"/>
    <w:rsid w:val="00BE03BD"/>
    <w:rsid w:val="00BE36E2"/>
    <w:rsid w:val="00BE47A1"/>
    <w:rsid w:val="00BE49AF"/>
    <w:rsid w:val="00BE4CBC"/>
    <w:rsid w:val="00BE676D"/>
    <w:rsid w:val="00BF2592"/>
    <w:rsid w:val="00C00181"/>
    <w:rsid w:val="00C0046F"/>
    <w:rsid w:val="00C05092"/>
    <w:rsid w:val="00C07525"/>
    <w:rsid w:val="00C14BDA"/>
    <w:rsid w:val="00C2020F"/>
    <w:rsid w:val="00C202B0"/>
    <w:rsid w:val="00C20933"/>
    <w:rsid w:val="00C23C01"/>
    <w:rsid w:val="00C268A1"/>
    <w:rsid w:val="00C30C7E"/>
    <w:rsid w:val="00C4253A"/>
    <w:rsid w:val="00C51A2E"/>
    <w:rsid w:val="00C51C45"/>
    <w:rsid w:val="00C55A6A"/>
    <w:rsid w:val="00C60B1C"/>
    <w:rsid w:val="00C60C64"/>
    <w:rsid w:val="00C61679"/>
    <w:rsid w:val="00C72582"/>
    <w:rsid w:val="00C7465C"/>
    <w:rsid w:val="00C7545D"/>
    <w:rsid w:val="00C80982"/>
    <w:rsid w:val="00C840C7"/>
    <w:rsid w:val="00C91414"/>
    <w:rsid w:val="00C9586F"/>
    <w:rsid w:val="00C95F96"/>
    <w:rsid w:val="00CA56D5"/>
    <w:rsid w:val="00CB1E84"/>
    <w:rsid w:val="00CB49F8"/>
    <w:rsid w:val="00CB7FB8"/>
    <w:rsid w:val="00CC14D7"/>
    <w:rsid w:val="00CC2ACA"/>
    <w:rsid w:val="00CC313F"/>
    <w:rsid w:val="00CC399B"/>
    <w:rsid w:val="00CC40CC"/>
    <w:rsid w:val="00CC4BEF"/>
    <w:rsid w:val="00CC7A82"/>
    <w:rsid w:val="00CD531F"/>
    <w:rsid w:val="00CE1530"/>
    <w:rsid w:val="00CE63D0"/>
    <w:rsid w:val="00CF31A0"/>
    <w:rsid w:val="00CF4E17"/>
    <w:rsid w:val="00CF5714"/>
    <w:rsid w:val="00D018E4"/>
    <w:rsid w:val="00D14114"/>
    <w:rsid w:val="00D2173C"/>
    <w:rsid w:val="00D32926"/>
    <w:rsid w:val="00D329D5"/>
    <w:rsid w:val="00D34E99"/>
    <w:rsid w:val="00D35D7A"/>
    <w:rsid w:val="00D422FD"/>
    <w:rsid w:val="00D42D10"/>
    <w:rsid w:val="00D53530"/>
    <w:rsid w:val="00D547F3"/>
    <w:rsid w:val="00D54F0B"/>
    <w:rsid w:val="00D71659"/>
    <w:rsid w:val="00D73521"/>
    <w:rsid w:val="00D86C6D"/>
    <w:rsid w:val="00D87230"/>
    <w:rsid w:val="00D90D66"/>
    <w:rsid w:val="00D95603"/>
    <w:rsid w:val="00D96DBB"/>
    <w:rsid w:val="00D96FFD"/>
    <w:rsid w:val="00DA18E2"/>
    <w:rsid w:val="00DA2058"/>
    <w:rsid w:val="00DA4B23"/>
    <w:rsid w:val="00DB7167"/>
    <w:rsid w:val="00DC1385"/>
    <w:rsid w:val="00DC4EAE"/>
    <w:rsid w:val="00DE38B3"/>
    <w:rsid w:val="00DE3B91"/>
    <w:rsid w:val="00DE43AB"/>
    <w:rsid w:val="00DE7C3E"/>
    <w:rsid w:val="00DE7CBE"/>
    <w:rsid w:val="00DF0DEA"/>
    <w:rsid w:val="00DF5449"/>
    <w:rsid w:val="00E0557E"/>
    <w:rsid w:val="00E060EA"/>
    <w:rsid w:val="00E063C4"/>
    <w:rsid w:val="00E106ED"/>
    <w:rsid w:val="00E119CA"/>
    <w:rsid w:val="00E1201D"/>
    <w:rsid w:val="00E162D2"/>
    <w:rsid w:val="00E162E5"/>
    <w:rsid w:val="00E22279"/>
    <w:rsid w:val="00E30BC9"/>
    <w:rsid w:val="00E31F76"/>
    <w:rsid w:val="00E36BAC"/>
    <w:rsid w:val="00E40EA3"/>
    <w:rsid w:val="00E43081"/>
    <w:rsid w:val="00E4724D"/>
    <w:rsid w:val="00E52B58"/>
    <w:rsid w:val="00E5504F"/>
    <w:rsid w:val="00E55723"/>
    <w:rsid w:val="00E55BBA"/>
    <w:rsid w:val="00E627CC"/>
    <w:rsid w:val="00E637C3"/>
    <w:rsid w:val="00E718DC"/>
    <w:rsid w:val="00E72E78"/>
    <w:rsid w:val="00E75CA2"/>
    <w:rsid w:val="00E76334"/>
    <w:rsid w:val="00E769BE"/>
    <w:rsid w:val="00E81AC9"/>
    <w:rsid w:val="00E834ED"/>
    <w:rsid w:val="00E90B36"/>
    <w:rsid w:val="00E941E3"/>
    <w:rsid w:val="00EA0AEE"/>
    <w:rsid w:val="00EA0C90"/>
    <w:rsid w:val="00EA1B15"/>
    <w:rsid w:val="00EA3681"/>
    <w:rsid w:val="00EA5125"/>
    <w:rsid w:val="00EA7D42"/>
    <w:rsid w:val="00EB3937"/>
    <w:rsid w:val="00EB6CA9"/>
    <w:rsid w:val="00EC0481"/>
    <w:rsid w:val="00EC5691"/>
    <w:rsid w:val="00EE07AB"/>
    <w:rsid w:val="00EE2860"/>
    <w:rsid w:val="00EE5CA7"/>
    <w:rsid w:val="00EF11F1"/>
    <w:rsid w:val="00EF1852"/>
    <w:rsid w:val="00EF1E5F"/>
    <w:rsid w:val="00EF63EE"/>
    <w:rsid w:val="00EF7029"/>
    <w:rsid w:val="00F02A07"/>
    <w:rsid w:val="00F11C7F"/>
    <w:rsid w:val="00F23443"/>
    <w:rsid w:val="00F259CC"/>
    <w:rsid w:val="00F30D3B"/>
    <w:rsid w:val="00F31075"/>
    <w:rsid w:val="00F3202B"/>
    <w:rsid w:val="00F32A45"/>
    <w:rsid w:val="00F3437F"/>
    <w:rsid w:val="00F361FA"/>
    <w:rsid w:val="00F42B65"/>
    <w:rsid w:val="00F433D2"/>
    <w:rsid w:val="00F45368"/>
    <w:rsid w:val="00F5045A"/>
    <w:rsid w:val="00F50AC1"/>
    <w:rsid w:val="00F52C17"/>
    <w:rsid w:val="00F52F28"/>
    <w:rsid w:val="00F54DEF"/>
    <w:rsid w:val="00F605CC"/>
    <w:rsid w:val="00F614A7"/>
    <w:rsid w:val="00F632A3"/>
    <w:rsid w:val="00F6520C"/>
    <w:rsid w:val="00F6621A"/>
    <w:rsid w:val="00F672A4"/>
    <w:rsid w:val="00F72710"/>
    <w:rsid w:val="00F739DE"/>
    <w:rsid w:val="00F75A8C"/>
    <w:rsid w:val="00F765C7"/>
    <w:rsid w:val="00F76819"/>
    <w:rsid w:val="00F82519"/>
    <w:rsid w:val="00F829FB"/>
    <w:rsid w:val="00F83B60"/>
    <w:rsid w:val="00F841D2"/>
    <w:rsid w:val="00F8487F"/>
    <w:rsid w:val="00F8521A"/>
    <w:rsid w:val="00F86432"/>
    <w:rsid w:val="00F86CFA"/>
    <w:rsid w:val="00F90B52"/>
    <w:rsid w:val="00F91ED9"/>
    <w:rsid w:val="00F94962"/>
    <w:rsid w:val="00FA02FC"/>
    <w:rsid w:val="00FA11D2"/>
    <w:rsid w:val="00FA1288"/>
    <w:rsid w:val="00FA17BE"/>
    <w:rsid w:val="00FA4BF7"/>
    <w:rsid w:val="00FA646D"/>
    <w:rsid w:val="00FA6513"/>
    <w:rsid w:val="00FB197D"/>
    <w:rsid w:val="00FB77A3"/>
    <w:rsid w:val="00FC0CDF"/>
    <w:rsid w:val="00FC4B60"/>
    <w:rsid w:val="00FD212F"/>
    <w:rsid w:val="00FE68C9"/>
    <w:rsid w:val="00FF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B4FA73"/>
  <w15:docId w15:val="{8C7D7841-8F07-4809-86F4-367EEF10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92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0D24"/>
    <w:pPr>
      <w:spacing w:after="0" w:line="240" w:lineRule="auto"/>
    </w:pPr>
  </w:style>
  <w:style w:type="paragraph" w:styleId="ListParagraph">
    <w:name w:val="List Paragraph"/>
    <w:aliases w:val="VHA List Paragraph"/>
    <w:basedOn w:val="Normal"/>
    <w:link w:val="ListParagraphChar"/>
    <w:uiPriority w:val="34"/>
    <w:qFormat/>
    <w:rsid w:val="002942E3"/>
    <w:pPr>
      <w:ind w:left="720"/>
      <w:contextualSpacing/>
    </w:pPr>
  </w:style>
  <w:style w:type="paragraph" w:styleId="BalloonText">
    <w:name w:val="Balloon Text"/>
    <w:basedOn w:val="Normal"/>
    <w:link w:val="BalloonTextChar"/>
    <w:uiPriority w:val="99"/>
    <w:semiHidden/>
    <w:unhideWhenUsed/>
    <w:rsid w:val="002B0FF2"/>
    <w:rPr>
      <w:rFonts w:ascii="Tahoma" w:hAnsi="Tahoma" w:cs="Tahoma"/>
      <w:sz w:val="16"/>
      <w:szCs w:val="16"/>
    </w:rPr>
  </w:style>
  <w:style w:type="character" w:customStyle="1" w:styleId="BalloonTextChar">
    <w:name w:val="Balloon Text Char"/>
    <w:basedOn w:val="DefaultParagraphFont"/>
    <w:link w:val="BalloonText"/>
    <w:uiPriority w:val="99"/>
    <w:semiHidden/>
    <w:rsid w:val="002B0FF2"/>
    <w:rPr>
      <w:rFonts w:ascii="Tahoma" w:eastAsia="Times New Roman" w:hAnsi="Tahoma" w:cs="Tahoma"/>
      <w:sz w:val="16"/>
      <w:szCs w:val="16"/>
    </w:rPr>
  </w:style>
  <w:style w:type="paragraph" w:styleId="BodyText">
    <w:name w:val="Body Text"/>
    <w:basedOn w:val="Normal"/>
    <w:link w:val="BodyTextChar"/>
    <w:rsid w:val="0067034C"/>
    <w:rPr>
      <w:rFonts w:ascii="Comic Sans MS" w:hAnsi="Comic Sans MS"/>
      <w:sz w:val="20"/>
    </w:rPr>
  </w:style>
  <w:style w:type="character" w:customStyle="1" w:styleId="BodyTextChar">
    <w:name w:val="Body Text Char"/>
    <w:basedOn w:val="DefaultParagraphFont"/>
    <w:link w:val="BodyText"/>
    <w:rsid w:val="0067034C"/>
    <w:rPr>
      <w:rFonts w:ascii="Comic Sans MS" w:eastAsia="Times New Roman" w:hAnsi="Comic Sans MS" w:cs="Times New Roman"/>
      <w:sz w:val="20"/>
      <w:szCs w:val="20"/>
    </w:rPr>
  </w:style>
  <w:style w:type="table" w:styleId="TableGrid">
    <w:name w:val="Table Grid"/>
    <w:basedOn w:val="TableNormal"/>
    <w:uiPriority w:val="59"/>
    <w:rsid w:val="00B43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43C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078AF"/>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718DC"/>
    <w:rPr>
      <w:color w:val="0000FF" w:themeColor="hyperlink"/>
      <w:u w:val="single"/>
    </w:rPr>
  </w:style>
  <w:style w:type="character" w:customStyle="1" w:styleId="st1">
    <w:name w:val="st1"/>
    <w:basedOn w:val="DefaultParagraphFont"/>
    <w:rsid w:val="00855C68"/>
  </w:style>
  <w:style w:type="paragraph" w:styleId="Header">
    <w:name w:val="header"/>
    <w:basedOn w:val="Normal"/>
    <w:link w:val="HeaderChar"/>
    <w:uiPriority w:val="99"/>
    <w:unhideWhenUsed/>
    <w:rsid w:val="00964D0F"/>
    <w:pPr>
      <w:tabs>
        <w:tab w:val="center" w:pos="4680"/>
        <w:tab w:val="right" w:pos="9360"/>
      </w:tabs>
    </w:pPr>
  </w:style>
  <w:style w:type="character" w:customStyle="1" w:styleId="HeaderChar">
    <w:name w:val="Header Char"/>
    <w:basedOn w:val="DefaultParagraphFont"/>
    <w:link w:val="Header"/>
    <w:uiPriority w:val="99"/>
    <w:rsid w:val="00964D0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64D0F"/>
    <w:pPr>
      <w:tabs>
        <w:tab w:val="center" w:pos="4680"/>
        <w:tab w:val="right" w:pos="9360"/>
      </w:tabs>
    </w:pPr>
  </w:style>
  <w:style w:type="character" w:customStyle="1" w:styleId="FooterChar">
    <w:name w:val="Footer Char"/>
    <w:basedOn w:val="DefaultParagraphFont"/>
    <w:link w:val="Footer"/>
    <w:uiPriority w:val="99"/>
    <w:rsid w:val="00964D0F"/>
    <w:rPr>
      <w:rFonts w:ascii="Times New Roman" w:eastAsia="Times New Roman" w:hAnsi="Times New Roman" w:cs="Times New Roman"/>
      <w:sz w:val="24"/>
      <w:szCs w:val="20"/>
    </w:rPr>
  </w:style>
  <w:style w:type="character" w:customStyle="1" w:styleId="apple-style-span">
    <w:name w:val="apple-style-span"/>
    <w:basedOn w:val="DefaultParagraphFont"/>
    <w:rsid w:val="00B129F6"/>
  </w:style>
  <w:style w:type="character" w:styleId="PlaceholderText">
    <w:name w:val="Placeholder Text"/>
    <w:basedOn w:val="DefaultParagraphFont"/>
    <w:uiPriority w:val="99"/>
    <w:semiHidden/>
    <w:rsid w:val="00560CB6"/>
    <w:rPr>
      <w:color w:val="808080"/>
    </w:rPr>
  </w:style>
  <w:style w:type="paragraph" w:styleId="NormalWeb">
    <w:name w:val="Normal (Web)"/>
    <w:basedOn w:val="Normal"/>
    <w:uiPriority w:val="99"/>
    <w:unhideWhenUsed/>
    <w:rsid w:val="00DC4EAE"/>
    <w:rPr>
      <w:rFonts w:eastAsiaTheme="minorEastAsia"/>
      <w:szCs w:val="24"/>
    </w:rPr>
  </w:style>
  <w:style w:type="paragraph" w:styleId="BodyText2">
    <w:name w:val="Body Text 2"/>
    <w:basedOn w:val="Normal"/>
    <w:link w:val="BodyText2Char"/>
    <w:uiPriority w:val="99"/>
    <w:semiHidden/>
    <w:unhideWhenUsed/>
    <w:rsid w:val="000C31E0"/>
    <w:pPr>
      <w:spacing w:after="120" w:line="480" w:lineRule="auto"/>
    </w:pPr>
  </w:style>
  <w:style w:type="character" w:customStyle="1" w:styleId="BodyText2Char">
    <w:name w:val="Body Text 2 Char"/>
    <w:basedOn w:val="DefaultParagraphFont"/>
    <w:link w:val="BodyText2"/>
    <w:uiPriority w:val="99"/>
    <w:semiHidden/>
    <w:rsid w:val="000C31E0"/>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9B04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402"/>
    <w:rPr>
      <w:rFonts w:asciiTheme="majorHAnsi" w:eastAsiaTheme="majorEastAsia" w:hAnsiTheme="majorHAnsi" w:cstheme="majorBidi"/>
      <w:spacing w:val="-10"/>
      <w:kern w:val="28"/>
      <w:sz w:val="56"/>
      <w:szCs w:val="56"/>
    </w:rPr>
  </w:style>
  <w:style w:type="table" w:customStyle="1" w:styleId="TableGrid1">
    <w:name w:val="Table Grid1"/>
    <w:basedOn w:val="TableNormal"/>
    <w:next w:val="TableGrid"/>
    <w:uiPriority w:val="59"/>
    <w:rsid w:val="009C36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HA List Paragraph Char"/>
    <w:basedOn w:val="DefaultParagraphFont"/>
    <w:link w:val="ListParagraph"/>
    <w:uiPriority w:val="34"/>
    <w:rsid w:val="009C36B3"/>
    <w:rPr>
      <w:rFonts w:ascii="Times New Roman" w:eastAsia="Times New Roman" w:hAnsi="Times New Roman" w:cs="Times New Roman"/>
      <w:sz w:val="24"/>
      <w:szCs w:val="20"/>
    </w:rPr>
  </w:style>
  <w:style w:type="table" w:customStyle="1" w:styleId="TableGrid6">
    <w:name w:val="Table Grid6"/>
    <w:basedOn w:val="TableNormal"/>
    <w:next w:val="TableGrid"/>
    <w:uiPriority w:val="59"/>
    <w:rsid w:val="0067175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9773">
      <w:bodyDiv w:val="1"/>
      <w:marLeft w:val="0"/>
      <w:marRight w:val="0"/>
      <w:marTop w:val="0"/>
      <w:marBottom w:val="0"/>
      <w:divBdr>
        <w:top w:val="none" w:sz="0" w:space="0" w:color="auto"/>
        <w:left w:val="none" w:sz="0" w:space="0" w:color="auto"/>
        <w:bottom w:val="none" w:sz="0" w:space="0" w:color="auto"/>
        <w:right w:val="none" w:sz="0" w:space="0" w:color="auto"/>
      </w:divBdr>
    </w:div>
    <w:div w:id="222758756">
      <w:bodyDiv w:val="1"/>
      <w:marLeft w:val="0"/>
      <w:marRight w:val="0"/>
      <w:marTop w:val="0"/>
      <w:marBottom w:val="0"/>
      <w:divBdr>
        <w:top w:val="none" w:sz="0" w:space="0" w:color="auto"/>
        <w:left w:val="none" w:sz="0" w:space="0" w:color="auto"/>
        <w:bottom w:val="none" w:sz="0" w:space="0" w:color="auto"/>
        <w:right w:val="none" w:sz="0" w:space="0" w:color="auto"/>
      </w:divBdr>
    </w:div>
    <w:div w:id="264728890">
      <w:bodyDiv w:val="1"/>
      <w:marLeft w:val="0"/>
      <w:marRight w:val="0"/>
      <w:marTop w:val="0"/>
      <w:marBottom w:val="0"/>
      <w:divBdr>
        <w:top w:val="none" w:sz="0" w:space="0" w:color="auto"/>
        <w:left w:val="none" w:sz="0" w:space="0" w:color="auto"/>
        <w:bottom w:val="none" w:sz="0" w:space="0" w:color="auto"/>
        <w:right w:val="none" w:sz="0" w:space="0" w:color="auto"/>
      </w:divBdr>
    </w:div>
    <w:div w:id="331495338">
      <w:bodyDiv w:val="1"/>
      <w:marLeft w:val="0"/>
      <w:marRight w:val="0"/>
      <w:marTop w:val="0"/>
      <w:marBottom w:val="0"/>
      <w:divBdr>
        <w:top w:val="none" w:sz="0" w:space="0" w:color="auto"/>
        <w:left w:val="none" w:sz="0" w:space="0" w:color="auto"/>
        <w:bottom w:val="none" w:sz="0" w:space="0" w:color="auto"/>
        <w:right w:val="none" w:sz="0" w:space="0" w:color="auto"/>
      </w:divBdr>
    </w:div>
    <w:div w:id="419067613">
      <w:bodyDiv w:val="1"/>
      <w:marLeft w:val="0"/>
      <w:marRight w:val="0"/>
      <w:marTop w:val="0"/>
      <w:marBottom w:val="0"/>
      <w:divBdr>
        <w:top w:val="none" w:sz="0" w:space="0" w:color="auto"/>
        <w:left w:val="none" w:sz="0" w:space="0" w:color="auto"/>
        <w:bottom w:val="none" w:sz="0" w:space="0" w:color="auto"/>
        <w:right w:val="none" w:sz="0" w:space="0" w:color="auto"/>
      </w:divBdr>
    </w:div>
    <w:div w:id="426001375">
      <w:bodyDiv w:val="1"/>
      <w:marLeft w:val="0"/>
      <w:marRight w:val="0"/>
      <w:marTop w:val="0"/>
      <w:marBottom w:val="0"/>
      <w:divBdr>
        <w:top w:val="none" w:sz="0" w:space="0" w:color="auto"/>
        <w:left w:val="none" w:sz="0" w:space="0" w:color="auto"/>
        <w:bottom w:val="none" w:sz="0" w:space="0" w:color="auto"/>
        <w:right w:val="none" w:sz="0" w:space="0" w:color="auto"/>
      </w:divBdr>
    </w:div>
    <w:div w:id="490756416">
      <w:bodyDiv w:val="1"/>
      <w:marLeft w:val="0"/>
      <w:marRight w:val="0"/>
      <w:marTop w:val="0"/>
      <w:marBottom w:val="0"/>
      <w:divBdr>
        <w:top w:val="none" w:sz="0" w:space="0" w:color="auto"/>
        <w:left w:val="none" w:sz="0" w:space="0" w:color="auto"/>
        <w:bottom w:val="none" w:sz="0" w:space="0" w:color="auto"/>
        <w:right w:val="none" w:sz="0" w:space="0" w:color="auto"/>
      </w:divBdr>
    </w:div>
    <w:div w:id="501552731">
      <w:bodyDiv w:val="1"/>
      <w:marLeft w:val="0"/>
      <w:marRight w:val="0"/>
      <w:marTop w:val="0"/>
      <w:marBottom w:val="0"/>
      <w:divBdr>
        <w:top w:val="none" w:sz="0" w:space="0" w:color="auto"/>
        <w:left w:val="none" w:sz="0" w:space="0" w:color="auto"/>
        <w:bottom w:val="none" w:sz="0" w:space="0" w:color="auto"/>
        <w:right w:val="none" w:sz="0" w:space="0" w:color="auto"/>
      </w:divBdr>
    </w:div>
    <w:div w:id="505024403">
      <w:bodyDiv w:val="1"/>
      <w:marLeft w:val="0"/>
      <w:marRight w:val="0"/>
      <w:marTop w:val="0"/>
      <w:marBottom w:val="0"/>
      <w:divBdr>
        <w:top w:val="none" w:sz="0" w:space="0" w:color="auto"/>
        <w:left w:val="none" w:sz="0" w:space="0" w:color="auto"/>
        <w:bottom w:val="none" w:sz="0" w:space="0" w:color="auto"/>
        <w:right w:val="none" w:sz="0" w:space="0" w:color="auto"/>
      </w:divBdr>
    </w:div>
    <w:div w:id="573899272">
      <w:bodyDiv w:val="1"/>
      <w:marLeft w:val="0"/>
      <w:marRight w:val="0"/>
      <w:marTop w:val="0"/>
      <w:marBottom w:val="0"/>
      <w:divBdr>
        <w:top w:val="none" w:sz="0" w:space="0" w:color="auto"/>
        <w:left w:val="none" w:sz="0" w:space="0" w:color="auto"/>
        <w:bottom w:val="none" w:sz="0" w:space="0" w:color="auto"/>
        <w:right w:val="none" w:sz="0" w:space="0" w:color="auto"/>
      </w:divBdr>
    </w:div>
    <w:div w:id="663512413">
      <w:bodyDiv w:val="1"/>
      <w:marLeft w:val="0"/>
      <w:marRight w:val="0"/>
      <w:marTop w:val="0"/>
      <w:marBottom w:val="0"/>
      <w:divBdr>
        <w:top w:val="none" w:sz="0" w:space="0" w:color="auto"/>
        <w:left w:val="none" w:sz="0" w:space="0" w:color="auto"/>
        <w:bottom w:val="none" w:sz="0" w:space="0" w:color="auto"/>
        <w:right w:val="none" w:sz="0" w:space="0" w:color="auto"/>
      </w:divBdr>
    </w:div>
    <w:div w:id="685643064">
      <w:bodyDiv w:val="1"/>
      <w:marLeft w:val="0"/>
      <w:marRight w:val="0"/>
      <w:marTop w:val="0"/>
      <w:marBottom w:val="0"/>
      <w:divBdr>
        <w:top w:val="none" w:sz="0" w:space="0" w:color="auto"/>
        <w:left w:val="none" w:sz="0" w:space="0" w:color="auto"/>
        <w:bottom w:val="none" w:sz="0" w:space="0" w:color="auto"/>
        <w:right w:val="none" w:sz="0" w:space="0" w:color="auto"/>
      </w:divBdr>
    </w:div>
    <w:div w:id="766465575">
      <w:bodyDiv w:val="1"/>
      <w:marLeft w:val="0"/>
      <w:marRight w:val="0"/>
      <w:marTop w:val="0"/>
      <w:marBottom w:val="0"/>
      <w:divBdr>
        <w:top w:val="none" w:sz="0" w:space="0" w:color="auto"/>
        <w:left w:val="none" w:sz="0" w:space="0" w:color="auto"/>
        <w:bottom w:val="none" w:sz="0" w:space="0" w:color="auto"/>
        <w:right w:val="none" w:sz="0" w:space="0" w:color="auto"/>
      </w:divBdr>
    </w:div>
    <w:div w:id="776633134">
      <w:bodyDiv w:val="1"/>
      <w:marLeft w:val="0"/>
      <w:marRight w:val="0"/>
      <w:marTop w:val="0"/>
      <w:marBottom w:val="0"/>
      <w:divBdr>
        <w:top w:val="none" w:sz="0" w:space="0" w:color="auto"/>
        <w:left w:val="none" w:sz="0" w:space="0" w:color="auto"/>
        <w:bottom w:val="none" w:sz="0" w:space="0" w:color="auto"/>
        <w:right w:val="none" w:sz="0" w:space="0" w:color="auto"/>
      </w:divBdr>
    </w:div>
    <w:div w:id="800265573">
      <w:bodyDiv w:val="1"/>
      <w:marLeft w:val="0"/>
      <w:marRight w:val="0"/>
      <w:marTop w:val="0"/>
      <w:marBottom w:val="0"/>
      <w:divBdr>
        <w:top w:val="none" w:sz="0" w:space="0" w:color="auto"/>
        <w:left w:val="none" w:sz="0" w:space="0" w:color="auto"/>
        <w:bottom w:val="none" w:sz="0" w:space="0" w:color="auto"/>
        <w:right w:val="none" w:sz="0" w:space="0" w:color="auto"/>
      </w:divBdr>
    </w:div>
    <w:div w:id="862866283">
      <w:bodyDiv w:val="1"/>
      <w:marLeft w:val="0"/>
      <w:marRight w:val="0"/>
      <w:marTop w:val="0"/>
      <w:marBottom w:val="0"/>
      <w:divBdr>
        <w:top w:val="none" w:sz="0" w:space="0" w:color="auto"/>
        <w:left w:val="none" w:sz="0" w:space="0" w:color="auto"/>
        <w:bottom w:val="none" w:sz="0" w:space="0" w:color="auto"/>
        <w:right w:val="none" w:sz="0" w:space="0" w:color="auto"/>
      </w:divBdr>
    </w:div>
    <w:div w:id="864444581">
      <w:bodyDiv w:val="1"/>
      <w:marLeft w:val="0"/>
      <w:marRight w:val="0"/>
      <w:marTop w:val="0"/>
      <w:marBottom w:val="0"/>
      <w:divBdr>
        <w:top w:val="none" w:sz="0" w:space="0" w:color="auto"/>
        <w:left w:val="none" w:sz="0" w:space="0" w:color="auto"/>
        <w:bottom w:val="none" w:sz="0" w:space="0" w:color="auto"/>
        <w:right w:val="none" w:sz="0" w:space="0" w:color="auto"/>
      </w:divBdr>
    </w:div>
    <w:div w:id="886407145">
      <w:bodyDiv w:val="1"/>
      <w:marLeft w:val="0"/>
      <w:marRight w:val="0"/>
      <w:marTop w:val="0"/>
      <w:marBottom w:val="0"/>
      <w:divBdr>
        <w:top w:val="none" w:sz="0" w:space="0" w:color="auto"/>
        <w:left w:val="none" w:sz="0" w:space="0" w:color="auto"/>
        <w:bottom w:val="none" w:sz="0" w:space="0" w:color="auto"/>
        <w:right w:val="none" w:sz="0" w:space="0" w:color="auto"/>
      </w:divBdr>
    </w:div>
    <w:div w:id="896890739">
      <w:bodyDiv w:val="1"/>
      <w:marLeft w:val="0"/>
      <w:marRight w:val="0"/>
      <w:marTop w:val="0"/>
      <w:marBottom w:val="0"/>
      <w:divBdr>
        <w:top w:val="none" w:sz="0" w:space="0" w:color="auto"/>
        <w:left w:val="none" w:sz="0" w:space="0" w:color="auto"/>
        <w:bottom w:val="none" w:sz="0" w:space="0" w:color="auto"/>
        <w:right w:val="none" w:sz="0" w:space="0" w:color="auto"/>
      </w:divBdr>
    </w:div>
    <w:div w:id="897396891">
      <w:bodyDiv w:val="1"/>
      <w:marLeft w:val="0"/>
      <w:marRight w:val="0"/>
      <w:marTop w:val="0"/>
      <w:marBottom w:val="0"/>
      <w:divBdr>
        <w:top w:val="none" w:sz="0" w:space="0" w:color="auto"/>
        <w:left w:val="none" w:sz="0" w:space="0" w:color="auto"/>
        <w:bottom w:val="none" w:sz="0" w:space="0" w:color="auto"/>
        <w:right w:val="none" w:sz="0" w:space="0" w:color="auto"/>
      </w:divBdr>
    </w:div>
    <w:div w:id="897940683">
      <w:bodyDiv w:val="1"/>
      <w:marLeft w:val="0"/>
      <w:marRight w:val="0"/>
      <w:marTop w:val="0"/>
      <w:marBottom w:val="0"/>
      <w:divBdr>
        <w:top w:val="none" w:sz="0" w:space="0" w:color="auto"/>
        <w:left w:val="none" w:sz="0" w:space="0" w:color="auto"/>
        <w:bottom w:val="none" w:sz="0" w:space="0" w:color="auto"/>
        <w:right w:val="none" w:sz="0" w:space="0" w:color="auto"/>
      </w:divBdr>
    </w:div>
    <w:div w:id="900092558">
      <w:bodyDiv w:val="1"/>
      <w:marLeft w:val="0"/>
      <w:marRight w:val="0"/>
      <w:marTop w:val="0"/>
      <w:marBottom w:val="0"/>
      <w:divBdr>
        <w:top w:val="none" w:sz="0" w:space="0" w:color="auto"/>
        <w:left w:val="none" w:sz="0" w:space="0" w:color="auto"/>
        <w:bottom w:val="none" w:sz="0" w:space="0" w:color="auto"/>
        <w:right w:val="none" w:sz="0" w:space="0" w:color="auto"/>
      </w:divBdr>
    </w:div>
    <w:div w:id="980381743">
      <w:bodyDiv w:val="1"/>
      <w:marLeft w:val="0"/>
      <w:marRight w:val="0"/>
      <w:marTop w:val="0"/>
      <w:marBottom w:val="0"/>
      <w:divBdr>
        <w:top w:val="none" w:sz="0" w:space="0" w:color="auto"/>
        <w:left w:val="none" w:sz="0" w:space="0" w:color="auto"/>
        <w:bottom w:val="none" w:sz="0" w:space="0" w:color="auto"/>
        <w:right w:val="none" w:sz="0" w:space="0" w:color="auto"/>
      </w:divBdr>
    </w:div>
    <w:div w:id="1050958790">
      <w:bodyDiv w:val="1"/>
      <w:marLeft w:val="0"/>
      <w:marRight w:val="0"/>
      <w:marTop w:val="0"/>
      <w:marBottom w:val="0"/>
      <w:divBdr>
        <w:top w:val="none" w:sz="0" w:space="0" w:color="auto"/>
        <w:left w:val="none" w:sz="0" w:space="0" w:color="auto"/>
        <w:bottom w:val="none" w:sz="0" w:space="0" w:color="auto"/>
        <w:right w:val="none" w:sz="0" w:space="0" w:color="auto"/>
      </w:divBdr>
    </w:div>
    <w:div w:id="1057893940">
      <w:bodyDiv w:val="1"/>
      <w:marLeft w:val="0"/>
      <w:marRight w:val="0"/>
      <w:marTop w:val="0"/>
      <w:marBottom w:val="0"/>
      <w:divBdr>
        <w:top w:val="none" w:sz="0" w:space="0" w:color="auto"/>
        <w:left w:val="none" w:sz="0" w:space="0" w:color="auto"/>
        <w:bottom w:val="none" w:sz="0" w:space="0" w:color="auto"/>
        <w:right w:val="none" w:sz="0" w:space="0" w:color="auto"/>
      </w:divBdr>
    </w:div>
    <w:div w:id="1124543580">
      <w:bodyDiv w:val="1"/>
      <w:marLeft w:val="0"/>
      <w:marRight w:val="0"/>
      <w:marTop w:val="0"/>
      <w:marBottom w:val="0"/>
      <w:divBdr>
        <w:top w:val="none" w:sz="0" w:space="0" w:color="auto"/>
        <w:left w:val="none" w:sz="0" w:space="0" w:color="auto"/>
        <w:bottom w:val="none" w:sz="0" w:space="0" w:color="auto"/>
        <w:right w:val="none" w:sz="0" w:space="0" w:color="auto"/>
      </w:divBdr>
    </w:div>
    <w:div w:id="1160654124">
      <w:bodyDiv w:val="1"/>
      <w:marLeft w:val="0"/>
      <w:marRight w:val="0"/>
      <w:marTop w:val="0"/>
      <w:marBottom w:val="0"/>
      <w:divBdr>
        <w:top w:val="none" w:sz="0" w:space="0" w:color="auto"/>
        <w:left w:val="none" w:sz="0" w:space="0" w:color="auto"/>
        <w:bottom w:val="none" w:sz="0" w:space="0" w:color="auto"/>
        <w:right w:val="none" w:sz="0" w:space="0" w:color="auto"/>
      </w:divBdr>
    </w:div>
    <w:div w:id="1205756750">
      <w:bodyDiv w:val="1"/>
      <w:marLeft w:val="0"/>
      <w:marRight w:val="0"/>
      <w:marTop w:val="0"/>
      <w:marBottom w:val="0"/>
      <w:divBdr>
        <w:top w:val="none" w:sz="0" w:space="0" w:color="auto"/>
        <w:left w:val="none" w:sz="0" w:space="0" w:color="auto"/>
        <w:bottom w:val="none" w:sz="0" w:space="0" w:color="auto"/>
        <w:right w:val="none" w:sz="0" w:space="0" w:color="auto"/>
      </w:divBdr>
    </w:div>
    <w:div w:id="1258564039">
      <w:bodyDiv w:val="1"/>
      <w:marLeft w:val="0"/>
      <w:marRight w:val="0"/>
      <w:marTop w:val="0"/>
      <w:marBottom w:val="0"/>
      <w:divBdr>
        <w:top w:val="none" w:sz="0" w:space="0" w:color="auto"/>
        <w:left w:val="none" w:sz="0" w:space="0" w:color="auto"/>
        <w:bottom w:val="none" w:sz="0" w:space="0" w:color="auto"/>
        <w:right w:val="none" w:sz="0" w:space="0" w:color="auto"/>
      </w:divBdr>
    </w:div>
    <w:div w:id="1286158409">
      <w:bodyDiv w:val="1"/>
      <w:marLeft w:val="0"/>
      <w:marRight w:val="0"/>
      <w:marTop w:val="0"/>
      <w:marBottom w:val="0"/>
      <w:divBdr>
        <w:top w:val="none" w:sz="0" w:space="0" w:color="auto"/>
        <w:left w:val="none" w:sz="0" w:space="0" w:color="auto"/>
        <w:bottom w:val="none" w:sz="0" w:space="0" w:color="auto"/>
        <w:right w:val="none" w:sz="0" w:space="0" w:color="auto"/>
      </w:divBdr>
    </w:div>
    <w:div w:id="1321887612">
      <w:bodyDiv w:val="1"/>
      <w:marLeft w:val="0"/>
      <w:marRight w:val="0"/>
      <w:marTop w:val="0"/>
      <w:marBottom w:val="0"/>
      <w:divBdr>
        <w:top w:val="none" w:sz="0" w:space="0" w:color="auto"/>
        <w:left w:val="none" w:sz="0" w:space="0" w:color="auto"/>
        <w:bottom w:val="none" w:sz="0" w:space="0" w:color="auto"/>
        <w:right w:val="none" w:sz="0" w:space="0" w:color="auto"/>
      </w:divBdr>
    </w:div>
    <w:div w:id="1396122005">
      <w:bodyDiv w:val="1"/>
      <w:marLeft w:val="0"/>
      <w:marRight w:val="0"/>
      <w:marTop w:val="0"/>
      <w:marBottom w:val="0"/>
      <w:divBdr>
        <w:top w:val="none" w:sz="0" w:space="0" w:color="auto"/>
        <w:left w:val="none" w:sz="0" w:space="0" w:color="auto"/>
        <w:bottom w:val="none" w:sz="0" w:space="0" w:color="auto"/>
        <w:right w:val="none" w:sz="0" w:space="0" w:color="auto"/>
      </w:divBdr>
    </w:div>
    <w:div w:id="1427768808">
      <w:bodyDiv w:val="1"/>
      <w:marLeft w:val="0"/>
      <w:marRight w:val="0"/>
      <w:marTop w:val="0"/>
      <w:marBottom w:val="0"/>
      <w:divBdr>
        <w:top w:val="none" w:sz="0" w:space="0" w:color="auto"/>
        <w:left w:val="none" w:sz="0" w:space="0" w:color="auto"/>
        <w:bottom w:val="none" w:sz="0" w:space="0" w:color="auto"/>
        <w:right w:val="none" w:sz="0" w:space="0" w:color="auto"/>
      </w:divBdr>
    </w:div>
    <w:div w:id="1463889121">
      <w:bodyDiv w:val="1"/>
      <w:marLeft w:val="0"/>
      <w:marRight w:val="0"/>
      <w:marTop w:val="0"/>
      <w:marBottom w:val="0"/>
      <w:divBdr>
        <w:top w:val="none" w:sz="0" w:space="0" w:color="auto"/>
        <w:left w:val="none" w:sz="0" w:space="0" w:color="auto"/>
        <w:bottom w:val="none" w:sz="0" w:space="0" w:color="auto"/>
        <w:right w:val="none" w:sz="0" w:space="0" w:color="auto"/>
      </w:divBdr>
    </w:div>
    <w:div w:id="1467239992">
      <w:bodyDiv w:val="1"/>
      <w:marLeft w:val="0"/>
      <w:marRight w:val="0"/>
      <w:marTop w:val="0"/>
      <w:marBottom w:val="0"/>
      <w:divBdr>
        <w:top w:val="none" w:sz="0" w:space="0" w:color="auto"/>
        <w:left w:val="none" w:sz="0" w:space="0" w:color="auto"/>
        <w:bottom w:val="none" w:sz="0" w:space="0" w:color="auto"/>
        <w:right w:val="none" w:sz="0" w:space="0" w:color="auto"/>
      </w:divBdr>
    </w:div>
    <w:div w:id="1474056352">
      <w:bodyDiv w:val="1"/>
      <w:marLeft w:val="0"/>
      <w:marRight w:val="0"/>
      <w:marTop w:val="0"/>
      <w:marBottom w:val="0"/>
      <w:divBdr>
        <w:top w:val="none" w:sz="0" w:space="0" w:color="auto"/>
        <w:left w:val="none" w:sz="0" w:space="0" w:color="auto"/>
        <w:bottom w:val="none" w:sz="0" w:space="0" w:color="auto"/>
        <w:right w:val="none" w:sz="0" w:space="0" w:color="auto"/>
      </w:divBdr>
    </w:div>
    <w:div w:id="1636643153">
      <w:bodyDiv w:val="1"/>
      <w:marLeft w:val="0"/>
      <w:marRight w:val="0"/>
      <w:marTop w:val="0"/>
      <w:marBottom w:val="0"/>
      <w:divBdr>
        <w:top w:val="none" w:sz="0" w:space="0" w:color="auto"/>
        <w:left w:val="none" w:sz="0" w:space="0" w:color="auto"/>
        <w:bottom w:val="none" w:sz="0" w:space="0" w:color="auto"/>
        <w:right w:val="none" w:sz="0" w:space="0" w:color="auto"/>
      </w:divBdr>
    </w:div>
    <w:div w:id="1658613411">
      <w:bodyDiv w:val="1"/>
      <w:marLeft w:val="0"/>
      <w:marRight w:val="0"/>
      <w:marTop w:val="0"/>
      <w:marBottom w:val="0"/>
      <w:divBdr>
        <w:top w:val="none" w:sz="0" w:space="0" w:color="auto"/>
        <w:left w:val="none" w:sz="0" w:space="0" w:color="auto"/>
        <w:bottom w:val="none" w:sz="0" w:space="0" w:color="auto"/>
        <w:right w:val="none" w:sz="0" w:space="0" w:color="auto"/>
      </w:divBdr>
    </w:div>
    <w:div w:id="1701277158">
      <w:bodyDiv w:val="1"/>
      <w:marLeft w:val="0"/>
      <w:marRight w:val="0"/>
      <w:marTop w:val="0"/>
      <w:marBottom w:val="0"/>
      <w:divBdr>
        <w:top w:val="none" w:sz="0" w:space="0" w:color="auto"/>
        <w:left w:val="none" w:sz="0" w:space="0" w:color="auto"/>
        <w:bottom w:val="none" w:sz="0" w:space="0" w:color="auto"/>
        <w:right w:val="none" w:sz="0" w:space="0" w:color="auto"/>
      </w:divBdr>
    </w:div>
    <w:div w:id="1702590744">
      <w:bodyDiv w:val="1"/>
      <w:marLeft w:val="0"/>
      <w:marRight w:val="0"/>
      <w:marTop w:val="0"/>
      <w:marBottom w:val="0"/>
      <w:divBdr>
        <w:top w:val="none" w:sz="0" w:space="0" w:color="auto"/>
        <w:left w:val="none" w:sz="0" w:space="0" w:color="auto"/>
        <w:bottom w:val="none" w:sz="0" w:space="0" w:color="auto"/>
        <w:right w:val="none" w:sz="0" w:space="0" w:color="auto"/>
      </w:divBdr>
    </w:div>
    <w:div w:id="1722898534">
      <w:bodyDiv w:val="1"/>
      <w:marLeft w:val="0"/>
      <w:marRight w:val="0"/>
      <w:marTop w:val="0"/>
      <w:marBottom w:val="0"/>
      <w:divBdr>
        <w:top w:val="none" w:sz="0" w:space="0" w:color="auto"/>
        <w:left w:val="none" w:sz="0" w:space="0" w:color="auto"/>
        <w:bottom w:val="none" w:sz="0" w:space="0" w:color="auto"/>
        <w:right w:val="none" w:sz="0" w:space="0" w:color="auto"/>
      </w:divBdr>
    </w:div>
    <w:div w:id="1776752191">
      <w:bodyDiv w:val="1"/>
      <w:marLeft w:val="0"/>
      <w:marRight w:val="0"/>
      <w:marTop w:val="0"/>
      <w:marBottom w:val="0"/>
      <w:divBdr>
        <w:top w:val="none" w:sz="0" w:space="0" w:color="auto"/>
        <w:left w:val="none" w:sz="0" w:space="0" w:color="auto"/>
        <w:bottom w:val="none" w:sz="0" w:space="0" w:color="auto"/>
        <w:right w:val="none" w:sz="0" w:space="0" w:color="auto"/>
      </w:divBdr>
    </w:div>
    <w:div w:id="1849975705">
      <w:bodyDiv w:val="1"/>
      <w:marLeft w:val="0"/>
      <w:marRight w:val="0"/>
      <w:marTop w:val="0"/>
      <w:marBottom w:val="0"/>
      <w:divBdr>
        <w:top w:val="none" w:sz="0" w:space="0" w:color="auto"/>
        <w:left w:val="none" w:sz="0" w:space="0" w:color="auto"/>
        <w:bottom w:val="none" w:sz="0" w:space="0" w:color="auto"/>
        <w:right w:val="none" w:sz="0" w:space="0" w:color="auto"/>
      </w:divBdr>
    </w:div>
    <w:div w:id="1855614012">
      <w:bodyDiv w:val="1"/>
      <w:marLeft w:val="0"/>
      <w:marRight w:val="0"/>
      <w:marTop w:val="0"/>
      <w:marBottom w:val="0"/>
      <w:divBdr>
        <w:top w:val="none" w:sz="0" w:space="0" w:color="auto"/>
        <w:left w:val="none" w:sz="0" w:space="0" w:color="auto"/>
        <w:bottom w:val="none" w:sz="0" w:space="0" w:color="auto"/>
        <w:right w:val="none" w:sz="0" w:space="0" w:color="auto"/>
      </w:divBdr>
    </w:div>
    <w:div w:id="1885866277">
      <w:bodyDiv w:val="1"/>
      <w:marLeft w:val="0"/>
      <w:marRight w:val="0"/>
      <w:marTop w:val="0"/>
      <w:marBottom w:val="0"/>
      <w:divBdr>
        <w:top w:val="none" w:sz="0" w:space="0" w:color="auto"/>
        <w:left w:val="none" w:sz="0" w:space="0" w:color="auto"/>
        <w:bottom w:val="none" w:sz="0" w:space="0" w:color="auto"/>
        <w:right w:val="none" w:sz="0" w:space="0" w:color="auto"/>
      </w:divBdr>
    </w:div>
    <w:div w:id="1923683059">
      <w:bodyDiv w:val="1"/>
      <w:marLeft w:val="0"/>
      <w:marRight w:val="0"/>
      <w:marTop w:val="0"/>
      <w:marBottom w:val="0"/>
      <w:divBdr>
        <w:top w:val="none" w:sz="0" w:space="0" w:color="auto"/>
        <w:left w:val="none" w:sz="0" w:space="0" w:color="auto"/>
        <w:bottom w:val="none" w:sz="0" w:space="0" w:color="auto"/>
        <w:right w:val="none" w:sz="0" w:space="0" w:color="auto"/>
      </w:divBdr>
    </w:div>
    <w:div w:id="1982810656">
      <w:bodyDiv w:val="1"/>
      <w:marLeft w:val="0"/>
      <w:marRight w:val="0"/>
      <w:marTop w:val="0"/>
      <w:marBottom w:val="0"/>
      <w:divBdr>
        <w:top w:val="none" w:sz="0" w:space="0" w:color="auto"/>
        <w:left w:val="none" w:sz="0" w:space="0" w:color="auto"/>
        <w:bottom w:val="none" w:sz="0" w:space="0" w:color="auto"/>
        <w:right w:val="none" w:sz="0" w:space="0" w:color="auto"/>
      </w:divBdr>
    </w:div>
    <w:div w:id="2024041714">
      <w:bodyDiv w:val="1"/>
      <w:marLeft w:val="0"/>
      <w:marRight w:val="0"/>
      <w:marTop w:val="0"/>
      <w:marBottom w:val="0"/>
      <w:divBdr>
        <w:top w:val="none" w:sz="0" w:space="0" w:color="auto"/>
        <w:left w:val="none" w:sz="0" w:space="0" w:color="auto"/>
        <w:bottom w:val="none" w:sz="0" w:space="0" w:color="auto"/>
        <w:right w:val="none" w:sz="0" w:space="0" w:color="auto"/>
      </w:divBdr>
    </w:div>
    <w:div w:id="2042973018">
      <w:bodyDiv w:val="1"/>
      <w:marLeft w:val="0"/>
      <w:marRight w:val="0"/>
      <w:marTop w:val="0"/>
      <w:marBottom w:val="0"/>
      <w:divBdr>
        <w:top w:val="none" w:sz="0" w:space="0" w:color="auto"/>
        <w:left w:val="none" w:sz="0" w:space="0" w:color="auto"/>
        <w:bottom w:val="none" w:sz="0" w:space="0" w:color="auto"/>
        <w:right w:val="none" w:sz="0" w:space="0" w:color="auto"/>
      </w:divBdr>
    </w:div>
    <w:div w:id="2068339209">
      <w:bodyDiv w:val="1"/>
      <w:marLeft w:val="0"/>
      <w:marRight w:val="0"/>
      <w:marTop w:val="0"/>
      <w:marBottom w:val="0"/>
      <w:divBdr>
        <w:top w:val="none" w:sz="0" w:space="0" w:color="auto"/>
        <w:left w:val="none" w:sz="0" w:space="0" w:color="auto"/>
        <w:bottom w:val="none" w:sz="0" w:space="0" w:color="auto"/>
        <w:right w:val="none" w:sz="0" w:space="0" w:color="auto"/>
      </w:divBdr>
    </w:div>
    <w:div w:id="2076539460">
      <w:bodyDiv w:val="1"/>
      <w:marLeft w:val="0"/>
      <w:marRight w:val="0"/>
      <w:marTop w:val="0"/>
      <w:marBottom w:val="0"/>
      <w:divBdr>
        <w:top w:val="none" w:sz="0" w:space="0" w:color="auto"/>
        <w:left w:val="none" w:sz="0" w:space="0" w:color="auto"/>
        <w:bottom w:val="none" w:sz="0" w:space="0" w:color="auto"/>
        <w:right w:val="none" w:sz="0" w:space="0" w:color="auto"/>
      </w:divBdr>
    </w:div>
    <w:div w:id="2102944404">
      <w:bodyDiv w:val="1"/>
      <w:marLeft w:val="0"/>
      <w:marRight w:val="0"/>
      <w:marTop w:val="0"/>
      <w:marBottom w:val="0"/>
      <w:divBdr>
        <w:top w:val="none" w:sz="0" w:space="0" w:color="auto"/>
        <w:left w:val="none" w:sz="0" w:space="0" w:color="auto"/>
        <w:bottom w:val="none" w:sz="0" w:space="0" w:color="auto"/>
        <w:right w:val="none" w:sz="0" w:space="0" w:color="auto"/>
      </w:divBdr>
    </w:div>
    <w:div w:id="2114546832">
      <w:bodyDiv w:val="1"/>
      <w:marLeft w:val="0"/>
      <w:marRight w:val="0"/>
      <w:marTop w:val="0"/>
      <w:marBottom w:val="0"/>
      <w:divBdr>
        <w:top w:val="none" w:sz="0" w:space="0" w:color="auto"/>
        <w:left w:val="none" w:sz="0" w:space="0" w:color="auto"/>
        <w:bottom w:val="none" w:sz="0" w:space="0" w:color="auto"/>
        <w:right w:val="none" w:sz="0" w:space="0" w:color="auto"/>
      </w:divBdr>
    </w:div>
    <w:div w:id="2124035163">
      <w:bodyDiv w:val="1"/>
      <w:marLeft w:val="0"/>
      <w:marRight w:val="0"/>
      <w:marTop w:val="0"/>
      <w:marBottom w:val="0"/>
      <w:divBdr>
        <w:top w:val="none" w:sz="0" w:space="0" w:color="auto"/>
        <w:left w:val="none" w:sz="0" w:space="0" w:color="auto"/>
        <w:bottom w:val="none" w:sz="0" w:space="0" w:color="auto"/>
        <w:right w:val="none" w:sz="0" w:space="0" w:color="auto"/>
      </w:divBdr>
    </w:div>
    <w:div w:id="2133479339">
      <w:bodyDiv w:val="1"/>
      <w:marLeft w:val="0"/>
      <w:marRight w:val="0"/>
      <w:marTop w:val="0"/>
      <w:marBottom w:val="0"/>
      <w:divBdr>
        <w:top w:val="none" w:sz="0" w:space="0" w:color="auto"/>
        <w:left w:val="none" w:sz="0" w:space="0" w:color="auto"/>
        <w:bottom w:val="none" w:sz="0" w:space="0" w:color="auto"/>
        <w:right w:val="none" w:sz="0" w:space="0" w:color="auto"/>
      </w:divBdr>
    </w:div>
    <w:div w:id="214253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080082E7-0F47-40CB-BAC2-244AE4FEB625}"/>
      </w:docPartPr>
      <w:docPartBody>
        <w:p w:rsidR="00F305B0" w:rsidRDefault="00213478">
          <w:r w:rsidRPr="00B44E7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0F"/>
    <w:rsid w:val="00213478"/>
    <w:rsid w:val="00281FD9"/>
    <w:rsid w:val="002C565D"/>
    <w:rsid w:val="005330D1"/>
    <w:rsid w:val="00647BCE"/>
    <w:rsid w:val="007304BB"/>
    <w:rsid w:val="0076574D"/>
    <w:rsid w:val="00837219"/>
    <w:rsid w:val="008F36D5"/>
    <w:rsid w:val="009B790F"/>
    <w:rsid w:val="009E7C79"/>
    <w:rsid w:val="00C32467"/>
    <w:rsid w:val="00F3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4C47E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C79"/>
    <w:rPr>
      <w:color w:val="808080"/>
    </w:rPr>
  </w:style>
  <w:style w:type="paragraph" w:customStyle="1" w:styleId="9E295248FEAC4EE98BD4E1197C825600">
    <w:name w:val="9E295248FEAC4EE98BD4E1197C825600"/>
    <w:rsid w:val="002C565D"/>
    <w:pPr>
      <w:spacing w:after="0" w:line="240" w:lineRule="auto"/>
    </w:pPr>
    <w:rPr>
      <w:rFonts w:eastAsiaTheme="minorHAnsi"/>
    </w:rPr>
  </w:style>
  <w:style w:type="paragraph" w:customStyle="1" w:styleId="8E27990241084576AFA34CFC4FAE1D3F">
    <w:name w:val="8E27990241084576AFA34CFC4FAE1D3F"/>
    <w:rsid w:val="002C565D"/>
    <w:pPr>
      <w:spacing w:after="0" w:line="240" w:lineRule="auto"/>
    </w:pPr>
    <w:rPr>
      <w:rFonts w:eastAsiaTheme="minorHAnsi"/>
    </w:rPr>
  </w:style>
  <w:style w:type="paragraph" w:customStyle="1" w:styleId="090C7CCA464A41A09E10CFC79232DA41">
    <w:name w:val="090C7CCA464A41A09E10CFC79232DA41"/>
    <w:rsid w:val="002C565D"/>
    <w:pPr>
      <w:tabs>
        <w:tab w:val="center" w:pos="4680"/>
        <w:tab w:val="right" w:pos="9360"/>
      </w:tabs>
      <w:spacing w:after="0" w:line="240" w:lineRule="auto"/>
    </w:pPr>
    <w:rPr>
      <w:rFonts w:ascii="Times New Roman" w:eastAsia="Times New Roman" w:hAnsi="Times New Roman" w:cs="Times New Roman"/>
      <w:sz w:val="24"/>
      <w:szCs w:val="20"/>
    </w:rPr>
  </w:style>
  <w:style w:type="paragraph" w:customStyle="1" w:styleId="9E295248FEAC4EE98BD4E1197C8256001">
    <w:name w:val="9E295248FEAC4EE98BD4E1197C8256001"/>
    <w:rsid w:val="002C565D"/>
    <w:pPr>
      <w:spacing w:after="0" w:line="240" w:lineRule="auto"/>
    </w:pPr>
    <w:rPr>
      <w:rFonts w:eastAsiaTheme="minorHAnsi"/>
    </w:rPr>
  </w:style>
  <w:style w:type="paragraph" w:customStyle="1" w:styleId="8E27990241084576AFA34CFC4FAE1D3F1">
    <w:name w:val="8E27990241084576AFA34CFC4FAE1D3F1"/>
    <w:rsid w:val="002C565D"/>
    <w:pPr>
      <w:spacing w:after="0" w:line="240" w:lineRule="auto"/>
    </w:pPr>
    <w:rPr>
      <w:rFonts w:eastAsiaTheme="minorHAnsi"/>
    </w:rPr>
  </w:style>
  <w:style w:type="paragraph" w:customStyle="1" w:styleId="090C7CCA464A41A09E10CFC79232DA411">
    <w:name w:val="090C7CCA464A41A09E10CFC79232DA411"/>
    <w:rsid w:val="002C565D"/>
    <w:pPr>
      <w:tabs>
        <w:tab w:val="center" w:pos="4680"/>
        <w:tab w:val="right" w:pos="9360"/>
      </w:tabs>
      <w:spacing w:after="0" w:line="240" w:lineRule="auto"/>
    </w:pPr>
    <w:rPr>
      <w:rFonts w:ascii="Times New Roman" w:eastAsia="Times New Roman" w:hAnsi="Times New Roman" w:cs="Times New Roman"/>
      <w:sz w:val="24"/>
      <w:szCs w:val="20"/>
    </w:rPr>
  </w:style>
  <w:style w:type="paragraph" w:customStyle="1" w:styleId="BDD1FA9F6AE546718D3416089E77F62D">
    <w:name w:val="BDD1FA9F6AE546718D3416089E77F62D"/>
    <w:rsid w:val="002C565D"/>
  </w:style>
  <w:style w:type="paragraph" w:customStyle="1" w:styleId="2C5AE4EF3F2246158F639DFACF8F67E6">
    <w:name w:val="2C5AE4EF3F2246158F639DFACF8F67E6"/>
    <w:rsid w:val="002C565D"/>
  </w:style>
  <w:style w:type="paragraph" w:customStyle="1" w:styleId="A585F95EFD4B43B384498CC6BCBAABB3">
    <w:name w:val="A585F95EFD4B43B384498CC6BCBAABB3"/>
    <w:rsid w:val="008F36D5"/>
  </w:style>
  <w:style w:type="paragraph" w:customStyle="1" w:styleId="B8346A0490EE4779A717C7BF50F9523E">
    <w:name w:val="B8346A0490EE4779A717C7BF50F9523E"/>
    <w:rsid w:val="009E7C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281bec35-2d49-4357-aa35-1ca8d6bb2b40" ContentTypeId="0x010100F60E856307D84010ADE5B7B087F6B317" PreviousValue="false"/>
</file>

<file path=customXml/item3.xml><?xml version="1.0" encoding="utf-8"?>
<ct:contentTypeSchema xmlns:ct="http://schemas.microsoft.com/office/2006/metadata/contentType" xmlns:ma="http://schemas.microsoft.com/office/2006/metadata/properties/metaAttributes" ct:_="" ma:_="" ma:contentTypeName="Minutes Tech Update" ma:contentTypeID="0x010100F60E856307D84010ADE5B7B087F6B317006ADA2E322887A546952B1B1D3F60FD9B030400FE2A7F1A5B4D604583AA80C99539429C" ma:contentTypeVersion="12" ma:contentTypeDescription="Tech update minutes document" ma:contentTypeScope="" ma:versionID="25c9c3f4e4baa96b1e3be523af12a5f3">
  <xsd:schema xmlns:xsd="http://www.w3.org/2001/XMLSchema" xmlns:xs="http://www.w3.org/2001/XMLSchema" xmlns:p="http://schemas.microsoft.com/office/2006/metadata/properties" xmlns:ns2="70156df4-e6b8-441e-84b4-ef96741686ca" xmlns:ns3="190f5452-b2b6-4a18-bac3-b13b11bc91bc" targetNamespace="http://schemas.microsoft.com/office/2006/metadata/properties" ma:root="true" ma:fieldsID="b623a102b6b82038940a20e4c4bc54b0" ns2:_="" ns3:_="">
    <xsd:import namespace="70156df4-e6b8-441e-84b4-ef96741686ca"/>
    <xsd:import namespace="190f5452-b2b6-4a18-bac3-b13b11bc91bc"/>
    <xsd:element name="properties">
      <xsd:complexType>
        <xsd:sequence>
          <xsd:element name="documentManagement">
            <xsd:complexType>
              <xsd:all>
                <xsd:element ref="ns2:PHPSecurityClassification"/>
                <xsd:element ref="ns3:PHPPnTDocumentType" minOccurs="0"/>
                <xsd:element ref="ns3:PHPPnTCommitteeMeetingDate" minOccurs="0"/>
                <xsd:element ref="ns3:_dlc_DocId" minOccurs="0"/>
                <xsd:element ref="ns3:_dlc_DocIdUrl" minOccurs="0"/>
                <xsd:element ref="ns3:_dlc_DocIdPersistId" minOccurs="0"/>
                <xsd:element ref="ns3:PHPPnTPresentTo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56df4-e6b8-441e-84b4-ef96741686ca" elementFormDefault="qualified">
    <xsd:import namespace="http://schemas.microsoft.com/office/2006/documentManagement/types"/>
    <xsd:import namespace="http://schemas.microsoft.com/office/infopath/2007/PartnerControls"/>
    <xsd:element name="PHPSecurityClassification" ma:index="8" ma:displayName="PHP Security Classification" ma:default="PHP Confidential" ma:format="Dropdown" ma:internalName="PHPSecurityClassification">
      <xsd:simpleType>
        <xsd:restriction base="dms:Choice">
          <xsd:enumeration value="PHI"/>
          <xsd:enumeration value="PHP Confidential"/>
          <xsd:enumeration value="PHS Confidential"/>
          <xsd:enumeration value="PII"/>
          <xsd:enumeration value="Public"/>
        </xsd:restriction>
      </xsd:simpleType>
    </xsd:element>
  </xsd:schema>
  <xsd:schema xmlns:xsd="http://www.w3.org/2001/XMLSchema" xmlns:xs="http://www.w3.org/2001/XMLSchema" xmlns:dms="http://schemas.microsoft.com/office/2006/documentManagement/types" xmlns:pc="http://schemas.microsoft.com/office/infopath/2007/PartnerControls" targetNamespace="190f5452-b2b6-4a18-bac3-b13b11bc91bc" elementFormDefault="qualified">
    <xsd:import namespace="http://schemas.microsoft.com/office/2006/documentManagement/types"/>
    <xsd:import namespace="http://schemas.microsoft.com/office/infopath/2007/PartnerControls"/>
    <xsd:element name="PHPPnTDocumentType" ma:index="9" nillable="true" ma:displayName="Document Type" ma:description="Categorize the type of document" ma:format="Dropdown" ma:hidden="true" ma:internalName="PHPPnTDocumentType" ma:readOnly="false">
      <xsd:simpleType>
        <xsd:restriction base="dms:Choice">
          <xsd:enumeration value="Policy"/>
          <xsd:enumeration value="Presentation"/>
          <xsd:enumeration value="Monograph"/>
          <xsd:enumeration value="Minutes"/>
          <xsd:enumeration value="Limited Review"/>
          <xsd:enumeration value="Class Review"/>
          <xsd:enumeration value="Pathways"/>
          <xsd:enumeration value="SBAR"/>
          <xsd:enumeration value="Therapeutic Interchange"/>
          <xsd:enumeration value="Training Material"/>
          <xsd:enumeration value="Other"/>
        </xsd:restriction>
      </xsd:simpleType>
    </xsd:element>
    <xsd:element name="PHPPnTCommitteeMeetingDate" ma:index="10" nillable="true" ma:displayName="Committee Meeting Date" ma:description="The date of a P&amp;T committee meeting." ma:format="DateOnly" ma:internalName="PHPPnTCommitteeMeetingDat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PHPPnTPresentToCommittee" ma:index="16" nillable="true" ma:displayName="Include in Packet" ma:default="1" ma:description="Identify documents that will be presented to the P&amp;T committee." ma:internalName="PHPPnTPresentToCommitte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190f5452-b2b6-4a18-bac3-b13b11bc91bc">PNTID-375543731-12</_dlc_DocId>
    <_dlc_DocIdUrl xmlns="190f5452-b2b6-4a18-bac3-b13b11bc91bc">
      <Url>https://apps.hp.providence.org/sites/pnt/monet/Dec2019/_layouts/15/DocIdRedir.aspx?ID=PNTID-375543731-12</Url>
      <Description>PNTID-375543731-12</Description>
    </_dlc_DocIdUrl>
    <PHPSecurityClassification xmlns="70156df4-e6b8-441e-84b4-ef96741686ca">PHP Confidential</PHPSecurityClassification>
    <PHPPnTCommitteeMeetingDate xmlns="190f5452-b2b6-4a18-bac3-b13b11bc91bc" xsi:nil="true"/>
    <PHPPnTDocumentType xmlns="190f5452-b2b6-4a18-bac3-b13b11bc91bc" xsi:nil="true"/>
    <PHPPnTPresentToCommittee xmlns="190f5452-b2b6-4a18-bac3-b13b11bc91bc">true</PHPPnTPresentToCommitte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307BD-73D5-4EAA-B5D6-40CCF044CDFA}">
  <ds:schemaRefs>
    <ds:schemaRef ds:uri="http://schemas.microsoft.com/office/2006/metadata/customXsn"/>
  </ds:schemaRefs>
</ds:datastoreItem>
</file>

<file path=customXml/itemProps2.xml><?xml version="1.0" encoding="utf-8"?>
<ds:datastoreItem xmlns:ds="http://schemas.openxmlformats.org/officeDocument/2006/customXml" ds:itemID="{1ED05FF0-4BD4-437B-A2A9-ADF1BC412DE7}">
  <ds:schemaRefs>
    <ds:schemaRef ds:uri="Microsoft.SharePoint.Taxonomy.ContentTypeSync"/>
  </ds:schemaRefs>
</ds:datastoreItem>
</file>

<file path=customXml/itemProps3.xml><?xml version="1.0" encoding="utf-8"?>
<ds:datastoreItem xmlns:ds="http://schemas.openxmlformats.org/officeDocument/2006/customXml" ds:itemID="{9650CD91-8C20-4CFE-9247-6383FAE06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56df4-e6b8-441e-84b4-ef96741686ca"/>
    <ds:schemaRef ds:uri="190f5452-b2b6-4a18-bac3-b13b11bc9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6716F-E840-44F1-AFED-C6A65022E1DF}">
  <ds:schemaRefs>
    <ds:schemaRef ds:uri="http://schemas.microsoft.com/sharepoint/events"/>
  </ds:schemaRefs>
</ds:datastoreItem>
</file>

<file path=customXml/itemProps5.xml><?xml version="1.0" encoding="utf-8"?>
<ds:datastoreItem xmlns:ds="http://schemas.openxmlformats.org/officeDocument/2006/customXml" ds:itemID="{DA4118A7-8F05-4433-A9BF-CD0614F0CA17}">
  <ds:schemaRefs>
    <ds:schemaRef ds:uri="http://purl.org/dc/elements/1.1/"/>
    <ds:schemaRef ds:uri="http://schemas.microsoft.com/office/2006/metadata/properties"/>
    <ds:schemaRef ds:uri="190f5452-b2b6-4a18-bac3-b13b11bc91bc"/>
    <ds:schemaRef ds:uri="http://purl.org/dc/terms/"/>
    <ds:schemaRef ds:uri="70156df4-e6b8-441e-84b4-ef96741686c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E263E712-6215-41CD-A5AF-2E05805E354C}">
  <ds:schemaRefs>
    <ds:schemaRef ds:uri="http://schemas.microsoft.com/sharepoint/v3/contenttype/forms"/>
  </ds:schemaRefs>
</ds:datastoreItem>
</file>

<file path=customXml/itemProps7.xml><?xml version="1.0" encoding="utf-8"?>
<ds:datastoreItem xmlns:ds="http://schemas.openxmlformats.org/officeDocument/2006/customXml" ds:itemID="{9020AB6A-F674-4C52-BB05-EE6DB5D9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PnT formulary changes for member site</vt:lpstr>
    </vt:vector>
  </TitlesOfParts>
  <Company>Providence Health Plan</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PnT formulary changes for member site</dc:title>
  <dc:creator>Hofmann, Lisa [PHP]</dc:creator>
  <cp:lastModifiedBy>Navarro, Norman I</cp:lastModifiedBy>
  <cp:revision>10</cp:revision>
  <cp:lastPrinted>2016-11-11T22:06:00Z</cp:lastPrinted>
  <dcterms:created xsi:type="dcterms:W3CDTF">2021-03-01T21:21:00Z</dcterms:created>
  <dcterms:modified xsi:type="dcterms:W3CDTF">2021-03-02T00:28:00Z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0x010100F60E856307D84010ADE5B7B087F6B317006ADA2E322887A546952B1B1D3F60FD9B030400FE2A7F1A5B4D604583AA80C99539429C</vt:lpwstr>
  </property>
  <property fmtid="{D5CDD505-2E9C-101B-9397-08002B2CF9AE}" pid="3" name="_dlc_DocIdItemGuid">
    <vt:lpwstr>90e2b414-da19-4f3b-9e05-361dcffb3d14</vt:lpwstr>
  </property>
  <property fmtid="{D5CDD505-2E9C-101B-9397-08002B2CF9AE}" pid="4" name="_dlc_DocId">
    <vt:lpwstr>PNTID-2-12</vt:lpwstr>
  </property>
  <property fmtid="{D5CDD505-2E9C-101B-9397-08002B2CF9AE}" pid="5" name="_dlc_DocIdUrl">
    <vt:lpwstr>https://apps.hp.providence.org/sites/pnt/_layouts/15/DocIdRedir.aspx?ID=PNTID-2-12, PNTID-2-12</vt:lpwstr>
  </property>
</Properties>
</file>