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0A994" w14:textId="77777777" w:rsidR="000873A7" w:rsidRPr="000873A7" w:rsidRDefault="000873A7" w:rsidP="000873A7">
      <w:pPr>
        <w:jc w:val="center"/>
        <w:rPr>
          <w:rFonts w:asciiTheme="minorHAnsi" w:hAnsiTheme="minorHAnsi" w:cstheme="minorHAnsi"/>
          <w:b/>
          <w:sz w:val="32"/>
          <w:szCs w:val="32"/>
        </w:rPr>
      </w:pPr>
      <w:bookmarkStart w:id="0" w:name="_GoBack"/>
      <w:bookmarkEnd w:id="0"/>
      <w:r w:rsidRPr="000873A7">
        <w:rPr>
          <w:rFonts w:asciiTheme="minorHAnsi" w:hAnsiTheme="minorHAnsi" w:cstheme="minorHAnsi"/>
          <w:b/>
          <w:sz w:val="32"/>
          <w:szCs w:val="32"/>
        </w:rPr>
        <w:t xml:space="preserve">Instructions for Out of </w:t>
      </w:r>
      <w:r w:rsidR="006A4675">
        <w:rPr>
          <w:rFonts w:asciiTheme="minorHAnsi" w:hAnsiTheme="minorHAnsi" w:cstheme="minorHAnsi"/>
          <w:b/>
          <w:sz w:val="32"/>
          <w:szCs w:val="32"/>
        </w:rPr>
        <w:t>Panel</w:t>
      </w:r>
      <w:r w:rsidRPr="000873A7">
        <w:rPr>
          <w:rFonts w:asciiTheme="minorHAnsi" w:hAnsiTheme="minorHAnsi" w:cstheme="minorHAnsi"/>
          <w:b/>
          <w:sz w:val="32"/>
          <w:szCs w:val="32"/>
        </w:rPr>
        <w:t xml:space="preserve"> </w:t>
      </w:r>
      <w:r w:rsidR="006A4675">
        <w:rPr>
          <w:rFonts w:asciiTheme="minorHAnsi" w:hAnsiTheme="minorHAnsi" w:cstheme="minorHAnsi"/>
          <w:b/>
          <w:sz w:val="32"/>
          <w:szCs w:val="32"/>
        </w:rPr>
        <w:t xml:space="preserve">(OOP) </w:t>
      </w:r>
      <w:r w:rsidRPr="000873A7">
        <w:rPr>
          <w:rFonts w:asciiTheme="minorHAnsi" w:hAnsiTheme="minorHAnsi" w:cstheme="minorHAnsi"/>
          <w:b/>
          <w:sz w:val="32"/>
          <w:szCs w:val="32"/>
        </w:rPr>
        <w:t>Provider Requests</w:t>
      </w:r>
    </w:p>
    <w:p w14:paraId="754648A3" w14:textId="77777777" w:rsidR="000873A7" w:rsidRPr="000873A7" w:rsidRDefault="000873A7" w:rsidP="000873A7">
      <w:pPr>
        <w:jc w:val="center"/>
        <w:rPr>
          <w:rFonts w:asciiTheme="minorHAnsi" w:hAnsiTheme="minorHAnsi" w:cstheme="minorHAnsi"/>
          <w:i/>
        </w:rPr>
      </w:pPr>
      <w:r w:rsidRPr="000873A7">
        <w:rPr>
          <w:rFonts w:asciiTheme="minorHAnsi" w:hAnsiTheme="minorHAnsi" w:cstheme="minorHAnsi"/>
          <w:i/>
        </w:rPr>
        <w:t>OHP Chemical Dependency and Mental Health Treatment Services</w:t>
      </w:r>
      <w:r>
        <w:rPr>
          <w:rFonts w:asciiTheme="minorHAnsi" w:hAnsiTheme="minorHAnsi" w:cstheme="minorHAnsi"/>
          <w:i/>
        </w:rPr>
        <w:t xml:space="preserve"> </w:t>
      </w:r>
      <w:r w:rsidRPr="000873A7">
        <w:rPr>
          <w:rFonts w:asciiTheme="minorHAnsi" w:hAnsiTheme="minorHAnsi" w:cstheme="minorHAnsi"/>
          <w:i/>
        </w:rPr>
        <w:t xml:space="preserve">for </w:t>
      </w:r>
      <w:r>
        <w:rPr>
          <w:rFonts w:asciiTheme="minorHAnsi" w:hAnsiTheme="minorHAnsi" w:cstheme="minorHAnsi"/>
          <w:i/>
        </w:rPr>
        <w:t>YCCO</w:t>
      </w:r>
      <w:r w:rsidRPr="000873A7">
        <w:rPr>
          <w:rFonts w:asciiTheme="minorHAnsi" w:hAnsiTheme="minorHAnsi" w:cstheme="minorHAnsi"/>
          <w:i/>
        </w:rPr>
        <w:t xml:space="preserve"> Members</w:t>
      </w:r>
    </w:p>
    <w:p w14:paraId="245D860F" w14:textId="77777777" w:rsidR="000873A7" w:rsidRPr="000873A7" w:rsidRDefault="000873A7" w:rsidP="000873A7">
      <w:pPr>
        <w:jc w:val="center"/>
        <w:rPr>
          <w:rFonts w:asciiTheme="minorHAnsi" w:hAnsiTheme="minorHAnsi" w:cstheme="minorHAnsi"/>
          <w:i/>
        </w:rPr>
      </w:pPr>
    </w:p>
    <w:p w14:paraId="32ECB635" w14:textId="77777777" w:rsidR="000873A7" w:rsidRPr="006A4675" w:rsidRDefault="000873A7" w:rsidP="000873A7">
      <w:pPr>
        <w:jc w:val="both"/>
        <w:rPr>
          <w:rFonts w:asciiTheme="minorHAnsi" w:hAnsiTheme="minorHAnsi" w:cstheme="minorHAnsi"/>
          <w:sz w:val="22"/>
        </w:rPr>
      </w:pPr>
      <w:r w:rsidRPr="006A4675">
        <w:rPr>
          <w:rFonts w:asciiTheme="minorHAnsi" w:hAnsiTheme="minorHAnsi" w:cstheme="minorHAnsi"/>
          <w:sz w:val="22"/>
        </w:rPr>
        <w:t xml:space="preserve">While </w:t>
      </w:r>
      <w:r w:rsidR="006A4675">
        <w:rPr>
          <w:rFonts w:asciiTheme="minorHAnsi" w:hAnsiTheme="minorHAnsi" w:cstheme="minorHAnsi"/>
          <w:sz w:val="22"/>
        </w:rPr>
        <w:t xml:space="preserve">OOP </w:t>
      </w:r>
      <w:r w:rsidRPr="006A4675">
        <w:rPr>
          <w:rFonts w:asciiTheme="minorHAnsi" w:hAnsiTheme="minorHAnsi" w:cstheme="minorHAnsi"/>
          <w:sz w:val="22"/>
        </w:rPr>
        <w:t xml:space="preserve">authorizations are not the norm, there are occasions in which this is the best option for a Yamhill </w:t>
      </w:r>
      <w:r w:rsidR="006A4675">
        <w:rPr>
          <w:rFonts w:asciiTheme="minorHAnsi" w:hAnsiTheme="minorHAnsi" w:cstheme="minorHAnsi"/>
          <w:sz w:val="22"/>
        </w:rPr>
        <w:t>CCO m</w:t>
      </w:r>
      <w:r w:rsidRPr="006A4675">
        <w:rPr>
          <w:rFonts w:asciiTheme="minorHAnsi" w:hAnsiTheme="minorHAnsi" w:cstheme="minorHAnsi"/>
          <w:sz w:val="22"/>
        </w:rPr>
        <w:t>ember. Below are step-by-step instructions to facilitate a request</w:t>
      </w:r>
      <w:r w:rsidR="006A4675">
        <w:rPr>
          <w:rFonts w:asciiTheme="minorHAnsi" w:hAnsiTheme="minorHAnsi" w:cstheme="minorHAnsi"/>
          <w:sz w:val="22"/>
        </w:rPr>
        <w:t>, which does not guarantee appro</w:t>
      </w:r>
      <w:r w:rsidRPr="006A4675">
        <w:rPr>
          <w:rFonts w:asciiTheme="minorHAnsi" w:hAnsiTheme="minorHAnsi" w:cstheme="minorHAnsi"/>
          <w:sz w:val="22"/>
        </w:rPr>
        <w:t>. Each case is considered in and of itself and, if denied, an explanation for that denial will be provided.</w:t>
      </w:r>
    </w:p>
    <w:p w14:paraId="3E16D10B" w14:textId="77777777" w:rsidR="000873A7" w:rsidRPr="006A4675" w:rsidRDefault="000873A7" w:rsidP="000873A7">
      <w:pPr>
        <w:jc w:val="both"/>
        <w:rPr>
          <w:rFonts w:asciiTheme="minorHAnsi" w:hAnsiTheme="minorHAnsi" w:cstheme="minorHAnsi"/>
          <w:sz w:val="10"/>
        </w:rPr>
      </w:pPr>
    </w:p>
    <w:p w14:paraId="0C5E58E8"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Verify YCCO</w:t>
      </w:r>
      <w:r w:rsidR="006A4675">
        <w:rPr>
          <w:rFonts w:asciiTheme="minorHAnsi" w:hAnsiTheme="minorHAnsi" w:cstheme="minorHAnsi"/>
          <w:sz w:val="22"/>
        </w:rPr>
        <w:t xml:space="preserve"> eligibility.</w:t>
      </w:r>
    </w:p>
    <w:p w14:paraId="1A8581D1"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If you are a provider delivering s</w:t>
      </w:r>
      <w:r w:rsidR="006A4675">
        <w:rPr>
          <w:rFonts w:asciiTheme="minorHAnsi" w:hAnsiTheme="minorHAnsi" w:cstheme="minorHAnsi"/>
          <w:sz w:val="22"/>
        </w:rPr>
        <w:t>ervices to a YCCO member</w:t>
      </w:r>
      <w:r w:rsidRPr="006A4675">
        <w:rPr>
          <w:rFonts w:asciiTheme="minorHAnsi" w:hAnsiTheme="minorHAnsi" w:cstheme="minorHAnsi"/>
          <w:sz w:val="22"/>
        </w:rPr>
        <w:t xml:space="preserve"> and </w:t>
      </w:r>
      <w:r w:rsidR="006A4675">
        <w:rPr>
          <w:rFonts w:asciiTheme="minorHAnsi" w:hAnsiTheme="minorHAnsi" w:cstheme="minorHAnsi"/>
          <w:sz w:val="22"/>
        </w:rPr>
        <w:t xml:space="preserve">you </w:t>
      </w:r>
      <w:r w:rsidRPr="006A4675">
        <w:rPr>
          <w:rFonts w:asciiTheme="minorHAnsi" w:hAnsiTheme="minorHAnsi" w:cstheme="minorHAnsi"/>
          <w:sz w:val="22"/>
        </w:rPr>
        <w:t>have</w:t>
      </w:r>
      <w:r w:rsidRPr="006A4675">
        <w:rPr>
          <w:rFonts w:asciiTheme="minorHAnsi" w:hAnsiTheme="minorHAnsi" w:cstheme="minorHAnsi"/>
          <w:b/>
          <w:sz w:val="22"/>
        </w:rPr>
        <w:t xml:space="preserve"> </w:t>
      </w:r>
      <w:r w:rsidRPr="006A4675">
        <w:rPr>
          <w:rFonts w:asciiTheme="minorHAnsi" w:hAnsiTheme="minorHAnsi" w:cstheme="minorHAnsi"/>
          <w:b/>
          <w:i/>
          <w:sz w:val="22"/>
        </w:rPr>
        <w:t>not</w:t>
      </w:r>
      <w:r w:rsidRPr="006A4675">
        <w:rPr>
          <w:rFonts w:asciiTheme="minorHAnsi" w:hAnsiTheme="minorHAnsi" w:cstheme="minorHAnsi"/>
          <w:b/>
          <w:sz w:val="22"/>
        </w:rPr>
        <w:t xml:space="preserve"> been through the credentialing process</w:t>
      </w:r>
      <w:r w:rsidRPr="006A4675">
        <w:rPr>
          <w:rFonts w:asciiTheme="minorHAnsi" w:hAnsiTheme="minorHAnsi" w:cstheme="minorHAnsi"/>
          <w:sz w:val="22"/>
        </w:rPr>
        <w:t xml:space="preserve"> as an </w:t>
      </w:r>
      <w:r w:rsidR="006A4675">
        <w:rPr>
          <w:rFonts w:asciiTheme="minorHAnsi" w:hAnsiTheme="minorHAnsi" w:cstheme="minorHAnsi"/>
          <w:sz w:val="22"/>
        </w:rPr>
        <w:t>OOP</w:t>
      </w:r>
      <w:r w:rsidRPr="006A4675">
        <w:rPr>
          <w:rFonts w:asciiTheme="minorHAnsi" w:hAnsiTheme="minorHAnsi" w:cstheme="minorHAnsi"/>
          <w:sz w:val="22"/>
        </w:rPr>
        <w:t xml:space="preserve"> Provider, please contact the Utilization Management team at 503-474-6884 or </w:t>
      </w:r>
      <w:hyperlink r:id="rId8" w:history="1">
        <w:r w:rsidRPr="006A4675">
          <w:rPr>
            <w:rStyle w:val="Hyperlink"/>
            <w:rFonts w:asciiTheme="minorHAnsi" w:hAnsiTheme="minorHAnsi" w:cstheme="minorHAnsi"/>
            <w:sz w:val="22"/>
          </w:rPr>
          <w:t>bhauthorizations@co.yamhill.or.us</w:t>
        </w:r>
      </w:hyperlink>
      <w:r w:rsidRPr="006A4675">
        <w:rPr>
          <w:rFonts w:asciiTheme="minorHAnsi" w:hAnsiTheme="minorHAnsi" w:cstheme="minorHAnsi"/>
          <w:sz w:val="22"/>
        </w:rPr>
        <w:t xml:space="preserve">. </w:t>
      </w:r>
    </w:p>
    <w:p w14:paraId="0ED1F7FC"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 xml:space="preserve">For credentialed YCCO providers, please write on the authorization request form in the “Description of service requested” the reason for YCCO member seeking </w:t>
      </w:r>
      <w:r w:rsidR="006A4675">
        <w:rPr>
          <w:rFonts w:asciiTheme="minorHAnsi" w:hAnsiTheme="minorHAnsi" w:cstheme="minorHAnsi"/>
          <w:sz w:val="22"/>
        </w:rPr>
        <w:t xml:space="preserve">OOP </w:t>
      </w:r>
      <w:r w:rsidRPr="006A4675">
        <w:rPr>
          <w:rFonts w:asciiTheme="minorHAnsi" w:hAnsiTheme="minorHAnsi" w:cstheme="minorHAnsi"/>
          <w:sz w:val="22"/>
        </w:rPr>
        <w:t>services.</w:t>
      </w:r>
    </w:p>
    <w:p w14:paraId="282335D9" w14:textId="77777777" w:rsidR="000873A7" w:rsidRPr="006A4675" w:rsidRDefault="000873A7" w:rsidP="000873A7">
      <w:pPr>
        <w:widowControl/>
        <w:numPr>
          <w:ilvl w:val="1"/>
          <w:numId w:val="8"/>
        </w:numPr>
        <w:tabs>
          <w:tab w:val="clear" w:pos="1440"/>
        </w:tabs>
        <w:ind w:left="720"/>
        <w:jc w:val="both"/>
        <w:rPr>
          <w:rFonts w:asciiTheme="minorHAnsi" w:hAnsiTheme="minorHAnsi" w:cstheme="minorHAnsi"/>
          <w:sz w:val="22"/>
        </w:rPr>
      </w:pPr>
      <w:r w:rsidRPr="006A4675">
        <w:rPr>
          <w:rFonts w:asciiTheme="minorHAnsi" w:hAnsiTheme="minorHAnsi" w:cstheme="minorHAnsi"/>
          <w:sz w:val="22"/>
        </w:rPr>
        <w:t xml:space="preserve">Examples of why a member might be choosing to engage with an </w:t>
      </w:r>
      <w:r w:rsidR="006A4675">
        <w:rPr>
          <w:rFonts w:asciiTheme="minorHAnsi" w:hAnsiTheme="minorHAnsi" w:cstheme="minorHAnsi"/>
          <w:sz w:val="22"/>
        </w:rPr>
        <w:t>OOP</w:t>
      </w:r>
      <w:r w:rsidRPr="006A4675">
        <w:rPr>
          <w:rFonts w:asciiTheme="minorHAnsi" w:hAnsiTheme="minorHAnsi" w:cstheme="minorHAnsi"/>
          <w:sz w:val="22"/>
        </w:rPr>
        <w:t xml:space="preserve"> provider include, but are not limited to:</w:t>
      </w:r>
    </w:p>
    <w:p w14:paraId="69D57B41" w14:textId="77777777" w:rsidR="000873A7" w:rsidRPr="006A4675" w:rsidRDefault="000873A7" w:rsidP="000873A7">
      <w:pPr>
        <w:widowControl/>
        <w:numPr>
          <w:ilvl w:val="2"/>
          <w:numId w:val="8"/>
        </w:numPr>
        <w:tabs>
          <w:tab w:val="clear" w:pos="2160"/>
        </w:tabs>
        <w:ind w:left="1350" w:hanging="270"/>
        <w:jc w:val="both"/>
        <w:rPr>
          <w:rFonts w:asciiTheme="minorHAnsi" w:hAnsiTheme="minorHAnsi" w:cstheme="minorHAnsi"/>
          <w:sz w:val="22"/>
        </w:rPr>
      </w:pPr>
      <w:r w:rsidRPr="006A4675">
        <w:rPr>
          <w:rFonts w:asciiTheme="minorHAnsi" w:hAnsiTheme="minorHAnsi" w:cstheme="minorHAnsi"/>
          <w:sz w:val="22"/>
        </w:rPr>
        <w:t xml:space="preserve">Geographic barriers. The member may live near, or be able to travel to, an </w:t>
      </w:r>
      <w:r w:rsidR="006A4675">
        <w:rPr>
          <w:rFonts w:asciiTheme="minorHAnsi" w:hAnsiTheme="minorHAnsi" w:cstheme="minorHAnsi"/>
          <w:sz w:val="22"/>
        </w:rPr>
        <w:t>OOP</w:t>
      </w:r>
      <w:r w:rsidRPr="006A4675">
        <w:rPr>
          <w:rFonts w:asciiTheme="minorHAnsi" w:hAnsiTheme="minorHAnsi" w:cstheme="minorHAnsi"/>
          <w:sz w:val="22"/>
        </w:rPr>
        <w:t xml:space="preserve"> provider with greater ease than getting to an in-panel provider.</w:t>
      </w:r>
    </w:p>
    <w:p w14:paraId="3DE65A02" w14:textId="77777777" w:rsidR="000873A7" w:rsidRPr="006A4675" w:rsidRDefault="000873A7" w:rsidP="000873A7">
      <w:pPr>
        <w:widowControl/>
        <w:numPr>
          <w:ilvl w:val="2"/>
          <w:numId w:val="8"/>
        </w:numPr>
        <w:tabs>
          <w:tab w:val="clear" w:pos="2160"/>
        </w:tabs>
        <w:ind w:left="1350" w:hanging="270"/>
        <w:jc w:val="both"/>
        <w:rPr>
          <w:rFonts w:asciiTheme="minorHAnsi" w:hAnsiTheme="minorHAnsi" w:cstheme="minorHAnsi"/>
          <w:sz w:val="10"/>
        </w:rPr>
      </w:pPr>
      <w:r w:rsidRPr="006A4675">
        <w:rPr>
          <w:rFonts w:asciiTheme="minorHAnsi" w:hAnsiTheme="minorHAnsi" w:cstheme="minorHAnsi"/>
          <w:sz w:val="22"/>
        </w:rPr>
        <w:t xml:space="preserve">Expertise at the </w:t>
      </w:r>
      <w:r w:rsidR="006A4675">
        <w:rPr>
          <w:rFonts w:asciiTheme="minorHAnsi" w:hAnsiTheme="minorHAnsi" w:cstheme="minorHAnsi"/>
          <w:sz w:val="22"/>
        </w:rPr>
        <w:t xml:space="preserve">OOP </w:t>
      </w:r>
      <w:r w:rsidRPr="006A4675">
        <w:rPr>
          <w:rFonts w:asciiTheme="minorHAnsi" w:hAnsiTheme="minorHAnsi" w:cstheme="minorHAnsi"/>
          <w:sz w:val="22"/>
        </w:rPr>
        <w:t>provider. Some providers have specialty care that other</w:t>
      </w:r>
      <w:r w:rsidR="006A4675">
        <w:rPr>
          <w:rFonts w:asciiTheme="minorHAnsi" w:hAnsiTheme="minorHAnsi" w:cstheme="minorHAnsi"/>
          <w:sz w:val="22"/>
        </w:rPr>
        <w:t>s do not</w:t>
      </w:r>
      <w:r w:rsidRPr="006A4675">
        <w:rPr>
          <w:rFonts w:asciiTheme="minorHAnsi" w:hAnsiTheme="minorHAnsi" w:cstheme="minorHAnsi"/>
          <w:sz w:val="22"/>
        </w:rPr>
        <w:t xml:space="preserve"> and</w:t>
      </w:r>
      <w:r w:rsidR="006A4675">
        <w:rPr>
          <w:rFonts w:asciiTheme="minorHAnsi" w:hAnsiTheme="minorHAnsi" w:cstheme="minorHAnsi"/>
          <w:sz w:val="22"/>
        </w:rPr>
        <w:t xml:space="preserve"> </w:t>
      </w:r>
      <w:r w:rsidRPr="006A4675">
        <w:rPr>
          <w:rFonts w:asciiTheme="minorHAnsi" w:hAnsiTheme="minorHAnsi" w:cstheme="minorHAnsi"/>
          <w:sz w:val="22"/>
        </w:rPr>
        <w:t xml:space="preserve">accessing this specialty service is in the best interest of the member. </w:t>
      </w:r>
    </w:p>
    <w:p w14:paraId="4917E00F" w14:textId="77777777" w:rsidR="000873A7" w:rsidRPr="006A4675" w:rsidRDefault="000873A7" w:rsidP="000873A7">
      <w:pPr>
        <w:widowControl/>
        <w:numPr>
          <w:ilvl w:val="0"/>
          <w:numId w:val="8"/>
        </w:numPr>
        <w:tabs>
          <w:tab w:val="clear" w:pos="720"/>
        </w:tabs>
        <w:ind w:left="360"/>
        <w:jc w:val="both"/>
        <w:rPr>
          <w:rFonts w:asciiTheme="minorHAnsi" w:hAnsiTheme="minorHAnsi" w:cstheme="minorHAnsi"/>
          <w:sz w:val="10"/>
        </w:rPr>
      </w:pPr>
      <w:r w:rsidRPr="006A4675">
        <w:rPr>
          <w:rFonts w:asciiTheme="minorHAnsi" w:hAnsiTheme="minorHAnsi" w:cstheme="minorHAnsi"/>
          <w:sz w:val="22"/>
        </w:rPr>
        <w:t>Fill out a Behavioral Health Authorization Request form</w:t>
      </w:r>
      <w:r w:rsidR="006A4675">
        <w:rPr>
          <w:rFonts w:asciiTheme="minorHAnsi" w:hAnsiTheme="minorHAnsi" w:cstheme="minorHAnsi"/>
          <w:sz w:val="22"/>
        </w:rPr>
        <w:t>,</w:t>
      </w:r>
      <w:r w:rsidRPr="006A4675">
        <w:rPr>
          <w:rFonts w:asciiTheme="minorHAnsi" w:hAnsiTheme="minorHAnsi" w:cstheme="minorHAnsi"/>
          <w:sz w:val="22"/>
        </w:rPr>
        <w:t xml:space="preserve"> which can be found at </w:t>
      </w:r>
      <w:hyperlink r:id="rId9" w:history="1">
        <w:r w:rsidRPr="006A4675">
          <w:rPr>
            <w:rStyle w:val="Hyperlink"/>
            <w:rFonts w:asciiTheme="minorHAnsi" w:hAnsiTheme="minorHAnsi" w:cstheme="minorHAnsi"/>
            <w:sz w:val="22"/>
          </w:rPr>
          <w:t>www.yamhillcco.org</w:t>
        </w:r>
      </w:hyperlink>
      <w:r w:rsidRPr="006A4675">
        <w:rPr>
          <w:rFonts w:asciiTheme="minorHAnsi" w:hAnsiTheme="minorHAnsi" w:cstheme="minorHAnsi"/>
          <w:color w:val="0000CC"/>
          <w:sz w:val="22"/>
        </w:rPr>
        <w:t xml:space="preserve"> </w:t>
      </w:r>
      <w:r w:rsidR="006A4675" w:rsidRPr="006A4675">
        <w:rPr>
          <w:rFonts w:asciiTheme="minorHAnsi" w:hAnsiTheme="minorHAnsi" w:cstheme="minorHAnsi"/>
          <w:color w:val="0D0D0D" w:themeColor="text1" w:themeTint="F2"/>
          <w:sz w:val="22"/>
        </w:rPr>
        <w:t xml:space="preserve">under </w:t>
      </w:r>
      <w:r w:rsidRPr="006A4675">
        <w:rPr>
          <w:rFonts w:asciiTheme="minorHAnsi" w:hAnsiTheme="minorHAnsi" w:cstheme="minorHAnsi"/>
          <w:sz w:val="22"/>
        </w:rPr>
        <w:t xml:space="preserve">Providers </w:t>
      </w:r>
      <w:r w:rsidRPr="006A4675">
        <w:rPr>
          <w:rFonts w:asciiTheme="minorHAnsi" w:hAnsiTheme="minorHAnsi" w:cstheme="minorHAnsi"/>
          <w:sz w:val="22"/>
        </w:rPr>
        <w:sym w:font="Wingdings" w:char="F0E0"/>
      </w:r>
      <w:r w:rsidR="006A4675">
        <w:rPr>
          <w:rFonts w:asciiTheme="minorHAnsi" w:hAnsiTheme="minorHAnsi" w:cstheme="minorHAnsi"/>
          <w:sz w:val="22"/>
        </w:rPr>
        <w:t xml:space="preserve"> Policies and Forms. S</w:t>
      </w:r>
      <w:r w:rsidRPr="006A4675">
        <w:rPr>
          <w:rFonts w:asciiTheme="minorHAnsi" w:hAnsiTheme="minorHAnsi" w:cstheme="minorHAnsi"/>
          <w:sz w:val="22"/>
        </w:rPr>
        <w:t>croll down to the Behavioral Health Provider Forms and they are under Chemical Dependency or Mental Health section.</w:t>
      </w:r>
    </w:p>
    <w:p w14:paraId="33FB776B" w14:textId="77777777" w:rsidR="000873A7" w:rsidRPr="006A4675" w:rsidRDefault="000873A7" w:rsidP="000873A7">
      <w:pPr>
        <w:widowControl/>
        <w:numPr>
          <w:ilvl w:val="1"/>
          <w:numId w:val="8"/>
        </w:numPr>
        <w:tabs>
          <w:tab w:val="clear" w:pos="1440"/>
          <w:tab w:val="num" w:pos="810"/>
        </w:tabs>
        <w:ind w:left="810" w:hanging="450"/>
        <w:jc w:val="both"/>
        <w:rPr>
          <w:rFonts w:asciiTheme="minorHAnsi" w:hAnsiTheme="minorHAnsi" w:cstheme="minorHAnsi"/>
          <w:sz w:val="10"/>
        </w:rPr>
      </w:pPr>
      <w:r w:rsidRPr="006A4675">
        <w:rPr>
          <w:rFonts w:asciiTheme="minorHAnsi" w:hAnsiTheme="minorHAnsi" w:cstheme="minorHAnsi"/>
          <w:sz w:val="22"/>
        </w:rPr>
        <w:t xml:space="preserve">The </w:t>
      </w:r>
      <w:r w:rsidR="006409EA">
        <w:rPr>
          <w:rFonts w:asciiTheme="minorHAnsi" w:hAnsiTheme="minorHAnsi" w:cstheme="minorHAnsi"/>
          <w:sz w:val="22"/>
        </w:rPr>
        <w:t>OOP</w:t>
      </w:r>
      <w:r w:rsidRPr="006A4675">
        <w:rPr>
          <w:rFonts w:asciiTheme="minorHAnsi" w:hAnsiTheme="minorHAnsi" w:cstheme="minorHAnsi"/>
          <w:sz w:val="22"/>
        </w:rPr>
        <w:t xml:space="preserve"> Request Authorization Forms can also be used for Funding and/or Time extension requests.</w:t>
      </w:r>
    </w:p>
    <w:p w14:paraId="512100C9" w14:textId="77777777" w:rsidR="000873A7" w:rsidRPr="006A4675" w:rsidRDefault="000873A7" w:rsidP="000873A7">
      <w:pPr>
        <w:widowControl/>
        <w:numPr>
          <w:ilvl w:val="1"/>
          <w:numId w:val="8"/>
        </w:numPr>
        <w:tabs>
          <w:tab w:val="clear" w:pos="1440"/>
        </w:tabs>
        <w:ind w:left="810" w:hanging="450"/>
        <w:jc w:val="both"/>
        <w:rPr>
          <w:rFonts w:asciiTheme="minorHAnsi" w:hAnsiTheme="minorHAnsi" w:cstheme="minorHAnsi"/>
          <w:sz w:val="10"/>
        </w:rPr>
      </w:pPr>
      <w:r w:rsidRPr="006A4675">
        <w:rPr>
          <w:rFonts w:asciiTheme="minorHAnsi" w:hAnsiTheme="minorHAnsi" w:cstheme="minorHAnsi"/>
          <w:sz w:val="22"/>
        </w:rPr>
        <w:t>Along with the request form, please send a</w:t>
      </w:r>
      <w:r w:rsidR="006409EA">
        <w:rPr>
          <w:rFonts w:asciiTheme="minorHAnsi" w:hAnsiTheme="minorHAnsi" w:cstheme="minorHAnsi"/>
          <w:sz w:val="22"/>
        </w:rPr>
        <w:t xml:space="preserve"> current assessment and service p</w:t>
      </w:r>
      <w:r w:rsidRPr="006A4675">
        <w:rPr>
          <w:rFonts w:asciiTheme="minorHAnsi" w:hAnsiTheme="minorHAnsi" w:cstheme="minorHAnsi"/>
          <w:sz w:val="22"/>
        </w:rPr>
        <w:t xml:space="preserve">lan </w:t>
      </w:r>
      <w:r w:rsidRPr="006A4675">
        <w:rPr>
          <w:rFonts w:asciiTheme="minorHAnsi" w:hAnsiTheme="minorHAnsi" w:cstheme="minorHAnsi"/>
          <w:b/>
          <w:sz w:val="22"/>
          <w:u w:val="single"/>
        </w:rPr>
        <w:t>signed</w:t>
      </w:r>
      <w:r w:rsidRPr="006A4675">
        <w:rPr>
          <w:rFonts w:asciiTheme="minorHAnsi" w:hAnsiTheme="minorHAnsi" w:cstheme="minorHAnsi"/>
          <w:sz w:val="22"/>
        </w:rPr>
        <w:t xml:space="preserve"> (signature, electronic signature, or date stamp are acceptable but not typed names) along with printed name for verification.</w:t>
      </w:r>
    </w:p>
    <w:p w14:paraId="7A2812B5" w14:textId="77777777" w:rsidR="006A4675" w:rsidRPr="006A4675" w:rsidRDefault="000873A7" w:rsidP="006A4675">
      <w:pPr>
        <w:widowControl/>
        <w:numPr>
          <w:ilvl w:val="2"/>
          <w:numId w:val="8"/>
        </w:numPr>
        <w:tabs>
          <w:tab w:val="clear" w:pos="2160"/>
          <w:tab w:val="num" w:pos="1350"/>
        </w:tabs>
        <w:ind w:left="1350" w:hanging="270"/>
        <w:jc w:val="both"/>
        <w:rPr>
          <w:rFonts w:asciiTheme="minorHAnsi" w:hAnsiTheme="minorHAnsi" w:cstheme="minorHAnsi"/>
          <w:sz w:val="10"/>
        </w:rPr>
      </w:pPr>
      <w:r w:rsidRPr="006A4675">
        <w:rPr>
          <w:rFonts w:asciiTheme="minorHAnsi" w:hAnsiTheme="minorHAnsi" w:cstheme="minorHAnsi"/>
          <w:sz w:val="22"/>
        </w:rPr>
        <w:t xml:space="preserve">Required signatures: CADC for Chemical Dependency requests or licensed provider with at least 60 hours of CE for SUD; QMHP for Mental Health (see OAR </w:t>
      </w:r>
      <w:r w:rsidRPr="006A4675">
        <w:rPr>
          <w:rStyle w:val="tofcheader"/>
          <w:rFonts w:asciiTheme="minorHAnsi" w:hAnsiTheme="minorHAnsi" w:cstheme="minorHAnsi"/>
          <w:bCs/>
          <w:sz w:val="22"/>
        </w:rPr>
        <w:t>309-019-0125 for more details</w:t>
      </w:r>
      <w:r w:rsidRPr="006A4675">
        <w:rPr>
          <w:rFonts w:asciiTheme="minorHAnsi" w:hAnsiTheme="minorHAnsi" w:cstheme="minorHAnsi"/>
          <w:sz w:val="22"/>
        </w:rPr>
        <w:t xml:space="preserve">); LMP for Withdrawal Management Services. </w:t>
      </w:r>
    </w:p>
    <w:p w14:paraId="6E6294F9" w14:textId="77777777" w:rsidR="006A4675" w:rsidRPr="006A4675" w:rsidRDefault="006409EA" w:rsidP="006A4675">
      <w:pPr>
        <w:widowControl/>
        <w:numPr>
          <w:ilvl w:val="0"/>
          <w:numId w:val="8"/>
        </w:numPr>
        <w:tabs>
          <w:tab w:val="clear" w:pos="720"/>
        </w:tabs>
        <w:ind w:left="360"/>
        <w:jc w:val="both"/>
        <w:rPr>
          <w:rFonts w:asciiTheme="minorHAnsi" w:hAnsiTheme="minorHAnsi" w:cstheme="minorHAnsi"/>
          <w:sz w:val="10"/>
        </w:rPr>
      </w:pPr>
      <w:r>
        <w:rPr>
          <w:rFonts w:asciiTheme="minorHAnsi" w:hAnsiTheme="minorHAnsi" w:cstheme="minorHAnsi"/>
          <w:sz w:val="22"/>
        </w:rPr>
        <w:t xml:space="preserve">If you are submitting a request for extension, please complete the additional two questions on the authorization request form. </w:t>
      </w:r>
      <w:r w:rsidR="006A4675">
        <w:rPr>
          <w:rFonts w:asciiTheme="minorHAnsi" w:hAnsiTheme="minorHAnsi" w:cstheme="minorHAnsi"/>
          <w:sz w:val="22"/>
        </w:rPr>
        <w:t>Extensions and discharges are evaluated based on the following criteria:</w:t>
      </w:r>
    </w:p>
    <w:p w14:paraId="56FA11F6" w14:textId="77777777" w:rsidR="006A4675" w:rsidRDefault="006A4675" w:rsidP="006A4675">
      <w:pPr>
        <w:widowControl/>
        <w:tabs>
          <w:tab w:val="left" w:pos="360"/>
        </w:tabs>
        <w:ind w:left="360"/>
        <w:jc w:val="both"/>
        <w:rPr>
          <w:rFonts w:asciiTheme="minorHAnsi" w:hAnsiTheme="minorHAnsi" w:cstheme="minorHAnsi"/>
          <w:sz w:val="10"/>
        </w:rPr>
      </w:pPr>
    </w:p>
    <w:p w14:paraId="528FEDCC" w14:textId="77777777" w:rsidR="006409EA" w:rsidRDefault="006409EA" w:rsidP="006A4675">
      <w:pPr>
        <w:widowControl/>
        <w:tabs>
          <w:tab w:val="left" w:pos="360"/>
        </w:tabs>
        <w:ind w:left="360"/>
        <w:jc w:val="both"/>
        <w:rPr>
          <w:rFonts w:asciiTheme="minorHAnsi" w:hAnsiTheme="minorHAnsi" w:cstheme="minorHAnsi"/>
          <w:sz w:val="10"/>
        </w:rPr>
      </w:pPr>
    </w:p>
    <w:tbl>
      <w:tblPr>
        <w:tblpPr w:leftFromText="180" w:rightFromText="180" w:vertAnchor="text" w:horzAnchor="margin" w:tblpY="-213"/>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5400"/>
      </w:tblGrid>
      <w:tr w:rsidR="006409EA" w:rsidRPr="00EE2622" w14:paraId="7E80C564" w14:textId="77777777" w:rsidTr="00CA7EA2">
        <w:trPr>
          <w:trHeight w:val="332"/>
        </w:trPr>
        <w:tc>
          <w:tcPr>
            <w:tcW w:w="5125" w:type="dxa"/>
            <w:tcBorders>
              <w:bottom w:val="single" w:sz="4" w:space="0" w:color="auto"/>
            </w:tcBorders>
          </w:tcPr>
          <w:p w14:paraId="76A2865E" w14:textId="77777777" w:rsidR="006409EA" w:rsidRPr="00EE2622" w:rsidRDefault="006409EA" w:rsidP="00CA7EA2">
            <w:pPr>
              <w:pStyle w:val="BodyText"/>
              <w:jc w:val="center"/>
              <w:rPr>
                <w:sz w:val="6"/>
                <w:szCs w:val="6"/>
              </w:rPr>
            </w:pPr>
          </w:p>
          <w:p w14:paraId="5409CD7E" w14:textId="77777777" w:rsidR="006409EA" w:rsidRDefault="006409EA" w:rsidP="00CA7EA2">
            <w:pPr>
              <w:pStyle w:val="BodyText"/>
              <w:jc w:val="center"/>
              <w:rPr>
                <w:b/>
                <w:sz w:val="20"/>
              </w:rPr>
            </w:pPr>
            <w:r w:rsidRPr="00EE2622">
              <w:rPr>
                <w:b/>
                <w:sz w:val="20"/>
              </w:rPr>
              <w:t>Continued Service / Stay Criteria</w:t>
            </w:r>
          </w:p>
          <w:p w14:paraId="171D32AB" w14:textId="77777777" w:rsidR="006409EA" w:rsidRPr="00EE2622" w:rsidRDefault="006409EA" w:rsidP="00CA7EA2">
            <w:pPr>
              <w:pStyle w:val="BodyText"/>
              <w:jc w:val="center"/>
              <w:rPr>
                <w:sz w:val="6"/>
                <w:szCs w:val="6"/>
              </w:rPr>
            </w:pPr>
          </w:p>
        </w:tc>
        <w:tc>
          <w:tcPr>
            <w:tcW w:w="5400" w:type="dxa"/>
            <w:tcBorders>
              <w:bottom w:val="single" w:sz="4" w:space="0" w:color="auto"/>
            </w:tcBorders>
          </w:tcPr>
          <w:p w14:paraId="562D8012" w14:textId="77777777" w:rsidR="006409EA" w:rsidRDefault="006409EA" w:rsidP="00CA7EA2">
            <w:pPr>
              <w:pStyle w:val="BodyText"/>
              <w:jc w:val="center"/>
              <w:rPr>
                <w:sz w:val="6"/>
                <w:szCs w:val="6"/>
              </w:rPr>
            </w:pPr>
          </w:p>
          <w:p w14:paraId="2A9703FD" w14:textId="77777777" w:rsidR="006409EA" w:rsidRPr="00EE2622" w:rsidRDefault="006409EA" w:rsidP="00CA7EA2">
            <w:pPr>
              <w:pStyle w:val="BodyText"/>
              <w:jc w:val="center"/>
              <w:rPr>
                <w:sz w:val="6"/>
                <w:szCs w:val="6"/>
              </w:rPr>
            </w:pPr>
            <w:r w:rsidRPr="00EE2622">
              <w:rPr>
                <w:b/>
                <w:sz w:val="20"/>
              </w:rPr>
              <w:t>Dis</w:t>
            </w:r>
            <w:r>
              <w:rPr>
                <w:b/>
                <w:sz w:val="20"/>
              </w:rPr>
              <w:t>charge / Transfer Criteria</w:t>
            </w:r>
          </w:p>
        </w:tc>
      </w:tr>
      <w:tr w:rsidR="006409EA" w:rsidRPr="00F011BD" w14:paraId="12D3E8D6" w14:textId="77777777" w:rsidTr="00CA7EA2">
        <w:trPr>
          <w:trHeight w:val="2591"/>
        </w:trPr>
        <w:tc>
          <w:tcPr>
            <w:tcW w:w="5125" w:type="dxa"/>
            <w:tcBorders>
              <w:bottom w:val="single" w:sz="4" w:space="0" w:color="auto"/>
            </w:tcBorders>
          </w:tcPr>
          <w:p w14:paraId="2D218E48" w14:textId="77777777" w:rsidR="006409EA" w:rsidRPr="00F011BD" w:rsidRDefault="006409EA" w:rsidP="00CA7EA2">
            <w:pPr>
              <w:pStyle w:val="BodyText"/>
              <w:ind w:left="360"/>
              <w:rPr>
                <w:rFonts w:ascii="Arial Narrow" w:hAnsi="Arial Narrow"/>
                <w:sz w:val="12"/>
                <w:szCs w:val="12"/>
              </w:rPr>
            </w:pPr>
          </w:p>
          <w:p w14:paraId="7B5C2ADB" w14:textId="77777777" w:rsidR="006409EA" w:rsidRPr="00F011BD" w:rsidRDefault="006409EA" w:rsidP="00CA7EA2">
            <w:pPr>
              <w:pStyle w:val="BodyText"/>
              <w:numPr>
                <w:ilvl w:val="0"/>
                <w:numId w:val="9"/>
              </w:numPr>
              <w:tabs>
                <w:tab w:val="clear" w:pos="360"/>
                <w:tab w:val="num" w:pos="210"/>
              </w:tabs>
              <w:ind w:left="210" w:hanging="210"/>
              <w:rPr>
                <w:rFonts w:ascii="Arial Narrow" w:hAnsi="Arial Narrow"/>
                <w:sz w:val="20"/>
              </w:rPr>
            </w:pPr>
            <w:r w:rsidRPr="00F011BD">
              <w:rPr>
                <w:rFonts w:ascii="Arial Narrow" w:hAnsi="Arial Narrow"/>
                <w:sz w:val="20"/>
              </w:rPr>
              <w:t xml:space="preserve">The Ct. is making </w:t>
            </w:r>
            <w:proofErr w:type="gramStart"/>
            <w:r w:rsidRPr="00F011BD">
              <w:rPr>
                <w:rFonts w:ascii="Arial Narrow" w:hAnsi="Arial Narrow"/>
                <w:sz w:val="20"/>
              </w:rPr>
              <w:t>progress, but</w:t>
            </w:r>
            <w:proofErr w:type="gramEnd"/>
            <w:r w:rsidRPr="00F011BD">
              <w:rPr>
                <w:rFonts w:ascii="Arial Narrow" w:hAnsi="Arial Narrow"/>
                <w:sz w:val="20"/>
              </w:rPr>
              <w:t xml:space="preserve"> has not yet achieved the goals articulated in the individualized tx plan. Continued tx at the present level of care is assessed as necessary to permit the Ct. to continue to work towards his/her tx goals.</w:t>
            </w:r>
          </w:p>
          <w:p w14:paraId="19E5176F" w14:textId="77777777" w:rsidR="006409EA" w:rsidRPr="00F011BD" w:rsidRDefault="006409EA" w:rsidP="00CA7EA2">
            <w:pPr>
              <w:widowControl/>
              <w:numPr>
                <w:ilvl w:val="0"/>
                <w:numId w:val="9"/>
              </w:numPr>
              <w:tabs>
                <w:tab w:val="clear" w:pos="360"/>
                <w:tab w:val="num" w:pos="210"/>
              </w:tabs>
              <w:ind w:left="210" w:hanging="210"/>
              <w:rPr>
                <w:rFonts w:ascii="Arial Narrow" w:hAnsi="Arial Narrow"/>
                <w:sz w:val="20"/>
              </w:rPr>
            </w:pPr>
            <w:r w:rsidRPr="00F011BD">
              <w:rPr>
                <w:rFonts w:ascii="Arial Narrow" w:hAnsi="Arial Narrow"/>
                <w:sz w:val="20"/>
              </w:rPr>
              <w:t>The Ct. is not yet making progress, but has the capacity to resolve his/her problems. He/she is actively working towards the goals articulated in the individualized tx plan. Continued tx at the present level of care is assessed as necessary to permit the Ct. to work towards his/her tx goals.</w:t>
            </w:r>
          </w:p>
          <w:p w14:paraId="04C0CB2E" w14:textId="77777777" w:rsidR="006409EA" w:rsidRPr="00F011BD" w:rsidRDefault="006409EA" w:rsidP="00CA7EA2">
            <w:pPr>
              <w:widowControl/>
              <w:numPr>
                <w:ilvl w:val="0"/>
                <w:numId w:val="9"/>
              </w:numPr>
              <w:tabs>
                <w:tab w:val="clear" w:pos="360"/>
                <w:tab w:val="num" w:pos="210"/>
              </w:tabs>
              <w:ind w:left="210" w:hanging="210"/>
              <w:rPr>
                <w:rFonts w:ascii="Arial Narrow" w:hAnsi="Arial Narrow"/>
                <w:sz w:val="20"/>
              </w:rPr>
            </w:pPr>
            <w:r w:rsidRPr="00F011BD">
              <w:rPr>
                <w:rFonts w:ascii="Arial Narrow" w:hAnsi="Arial Narrow"/>
                <w:sz w:val="20"/>
              </w:rPr>
              <w:t>New problems have been identified that are appropriately treated at the present level of care. This level is the least intensive at which the patient’s new problems can be addressed effectively.</w:t>
            </w:r>
          </w:p>
          <w:p w14:paraId="733F4C9E" w14:textId="77777777" w:rsidR="006409EA" w:rsidRPr="00F011BD" w:rsidRDefault="006409EA" w:rsidP="00CA7EA2">
            <w:pPr>
              <w:ind w:left="360"/>
              <w:rPr>
                <w:rFonts w:ascii="Arial Narrow" w:hAnsi="Arial Narrow"/>
                <w:sz w:val="12"/>
                <w:szCs w:val="12"/>
              </w:rPr>
            </w:pPr>
          </w:p>
        </w:tc>
        <w:tc>
          <w:tcPr>
            <w:tcW w:w="5400" w:type="dxa"/>
            <w:tcBorders>
              <w:bottom w:val="single" w:sz="4" w:space="0" w:color="auto"/>
            </w:tcBorders>
          </w:tcPr>
          <w:p w14:paraId="5E6B5058" w14:textId="77777777" w:rsidR="006409EA" w:rsidRPr="00F011BD" w:rsidRDefault="006409EA" w:rsidP="00CA7EA2">
            <w:pPr>
              <w:pStyle w:val="BodyText"/>
              <w:rPr>
                <w:rFonts w:ascii="Arial Narrow" w:hAnsi="Arial Narrow"/>
                <w:sz w:val="12"/>
                <w:szCs w:val="12"/>
              </w:rPr>
            </w:pPr>
          </w:p>
          <w:p w14:paraId="55F61F0D" w14:textId="77777777" w:rsidR="006409EA" w:rsidRPr="00F011BD" w:rsidRDefault="006409EA" w:rsidP="00CA7EA2">
            <w:pPr>
              <w:pStyle w:val="BodyText"/>
              <w:numPr>
                <w:ilvl w:val="0"/>
                <w:numId w:val="10"/>
              </w:numPr>
              <w:tabs>
                <w:tab w:val="clear" w:pos="360"/>
                <w:tab w:val="num" w:pos="187"/>
              </w:tabs>
              <w:ind w:left="187" w:hanging="187"/>
              <w:rPr>
                <w:rFonts w:ascii="Arial Narrow" w:hAnsi="Arial Narrow"/>
                <w:sz w:val="20"/>
              </w:rPr>
            </w:pPr>
            <w:r w:rsidRPr="00F011BD">
              <w:rPr>
                <w:rFonts w:ascii="Arial Narrow" w:hAnsi="Arial Narrow"/>
                <w:sz w:val="20"/>
              </w:rPr>
              <w:t>The Ct. has achieved the goals articulated in his/her individualized tx plan, thus resolving the problems that justified admission to this level of care.</w:t>
            </w:r>
          </w:p>
          <w:p w14:paraId="5E1222D1" w14:textId="77777777" w:rsidR="006409EA" w:rsidRPr="00F011BD" w:rsidRDefault="006409EA" w:rsidP="00CA7EA2">
            <w:pPr>
              <w:widowControl/>
              <w:numPr>
                <w:ilvl w:val="0"/>
                <w:numId w:val="10"/>
              </w:numPr>
              <w:tabs>
                <w:tab w:val="clear" w:pos="360"/>
                <w:tab w:val="num" w:pos="187"/>
              </w:tabs>
              <w:ind w:left="187" w:hanging="187"/>
              <w:rPr>
                <w:rFonts w:ascii="Arial Narrow" w:hAnsi="Arial Narrow"/>
                <w:sz w:val="20"/>
              </w:rPr>
            </w:pPr>
            <w:r w:rsidRPr="00F011BD">
              <w:rPr>
                <w:rFonts w:ascii="Arial Narrow" w:hAnsi="Arial Narrow"/>
                <w:sz w:val="20"/>
              </w:rPr>
              <w:t>The Ct. has been unable to resolve the problems that justified admission to the present level of care, despite amendments to the tx plan. Treatment at another level of care or type of service is therefore indicated.</w:t>
            </w:r>
          </w:p>
          <w:p w14:paraId="78CE97BF" w14:textId="77777777" w:rsidR="006409EA" w:rsidRPr="00F011BD" w:rsidRDefault="006409EA" w:rsidP="00CA7EA2">
            <w:pPr>
              <w:widowControl/>
              <w:numPr>
                <w:ilvl w:val="0"/>
                <w:numId w:val="10"/>
              </w:numPr>
              <w:tabs>
                <w:tab w:val="clear" w:pos="360"/>
                <w:tab w:val="num" w:pos="187"/>
              </w:tabs>
              <w:ind w:left="187" w:hanging="187"/>
              <w:rPr>
                <w:rFonts w:ascii="Arial Narrow" w:hAnsi="Arial Narrow"/>
                <w:sz w:val="20"/>
              </w:rPr>
            </w:pPr>
            <w:r w:rsidRPr="00F011BD">
              <w:rPr>
                <w:rFonts w:ascii="Arial Narrow" w:hAnsi="Arial Narrow"/>
                <w:sz w:val="20"/>
              </w:rPr>
              <w:t>The Ct. has demonstrated a lack of capacity to resolve his/her problems. Treatment at another level of care or type of service is therefore indicated.</w:t>
            </w:r>
          </w:p>
          <w:p w14:paraId="28A062D7" w14:textId="77777777" w:rsidR="006409EA" w:rsidRPr="00F011BD" w:rsidRDefault="006409EA" w:rsidP="00CA7EA2">
            <w:pPr>
              <w:widowControl/>
              <w:numPr>
                <w:ilvl w:val="0"/>
                <w:numId w:val="10"/>
              </w:numPr>
              <w:tabs>
                <w:tab w:val="clear" w:pos="360"/>
                <w:tab w:val="num" w:pos="187"/>
              </w:tabs>
              <w:ind w:left="187" w:hanging="187"/>
              <w:rPr>
                <w:rFonts w:ascii="Arial Narrow" w:hAnsi="Arial Narrow"/>
                <w:sz w:val="20"/>
              </w:rPr>
            </w:pPr>
            <w:r w:rsidRPr="00F011BD">
              <w:rPr>
                <w:rFonts w:ascii="Arial Narrow" w:hAnsi="Arial Narrow"/>
                <w:sz w:val="20"/>
              </w:rPr>
              <w:t>The Ct. has experienced an intensification of his/her problems, or has developed a new problem, and can be treated effectively only at a more intensive level of care.</w:t>
            </w:r>
          </w:p>
          <w:p w14:paraId="2BFC8DAD" w14:textId="77777777" w:rsidR="006409EA" w:rsidRPr="00F011BD" w:rsidRDefault="006409EA" w:rsidP="00CA7EA2">
            <w:pPr>
              <w:ind w:left="360"/>
              <w:rPr>
                <w:rFonts w:ascii="Arial Narrow" w:hAnsi="Arial Narrow"/>
                <w:sz w:val="20"/>
              </w:rPr>
            </w:pPr>
          </w:p>
        </w:tc>
      </w:tr>
    </w:tbl>
    <w:p w14:paraId="66981C0D" w14:textId="77777777" w:rsidR="000873A7" w:rsidRPr="006A4675" w:rsidRDefault="000873A7" w:rsidP="000873A7">
      <w:pPr>
        <w:widowControl/>
        <w:numPr>
          <w:ilvl w:val="0"/>
          <w:numId w:val="8"/>
        </w:numPr>
        <w:tabs>
          <w:tab w:val="clear" w:pos="720"/>
          <w:tab w:val="left" w:pos="360"/>
        </w:tabs>
        <w:ind w:left="360"/>
        <w:jc w:val="both"/>
        <w:rPr>
          <w:rFonts w:asciiTheme="minorHAnsi" w:hAnsiTheme="minorHAnsi" w:cstheme="minorHAnsi"/>
          <w:sz w:val="10"/>
        </w:rPr>
      </w:pPr>
      <w:r w:rsidRPr="006A4675">
        <w:rPr>
          <w:rFonts w:asciiTheme="minorHAnsi" w:hAnsiTheme="minorHAnsi" w:cstheme="minorHAnsi"/>
          <w:sz w:val="22"/>
          <w:szCs w:val="24"/>
        </w:rPr>
        <w:lastRenderedPageBreak/>
        <w:t xml:space="preserve">Send </w:t>
      </w:r>
      <w:r w:rsidR="006409EA">
        <w:rPr>
          <w:rFonts w:asciiTheme="minorHAnsi" w:hAnsiTheme="minorHAnsi" w:cstheme="minorHAnsi"/>
          <w:sz w:val="22"/>
          <w:szCs w:val="24"/>
        </w:rPr>
        <w:t xml:space="preserve">the </w:t>
      </w:r>
      <w:r w:rsidRPr="006A4675">
        <w:rPr>
          <w:rFonts w:asciiTheme="minorHAnsi" w:hAnsiTheme="minorHAnsi" w:cstheme="minorHAnsi"/>
          <w:sz w:val="22"/>
        </w:rPr>
        <w:t>Behavioral Health Authorization Request form</w:t>
      </w:r>
      <w:r w:rsidRPr="006A4675">
        <w:rPr>
          <w:rFonts w:asciiTheme="minorHAnsi" w:hAnsiTheme="minorHAnsi" w:cstheme="minorHAnsi"/>
          <w:sz w:val="22"/>
          <w:szCs w:val="24"/>
        </w:rPr>
        <w:t xml:space="preserve"> and signed </w:t>
      </w:r>
      <w:r w:rsidRPr="006A4675">
        <w:rPr>
          <w:rFonts w:asciiTheme="minorHAnsi" w:hAnsiTheme="minorHAnsi" w:cstheme="minorHAnsi"/>
          <w:sz w:val="22"/>
        </w:rPr>
        <w:t>Assessment and Service Plan</w:t>
      </w:r>
      <w:r w:rsidRPr="006A4675">
        <w:rPr>
          <w:rFonts w:asciiTheme="minorHAnsi" w:hAnsiTheme="minorHAnsi" w:cstheme="minorHAnsi"/>
          <w:sz w:val="22"/>
          <w:szCs w:val="24"/>
        </w:rPr>
        <w:t xml:space="preserve"> to</w:t>
      </w:r>
      <w:r w:rsidRPr="006A4675">
        <w:rPr>
          <w:rFonts w:asciiTheme="minorHAnsi" w:hAnsiTheme="minorHAnsi" w:cstheme="minorHAnsi"/>
          <w:sz w:val="22"/>
        </w:rPr>
        <w:t xml:space="preserve"> Utilization Management Team either fax at </w:t>
      </w:r>
      <w:r w:rsidRPr="006A4675">
        <w:rPr>
          <w:rFonts w:asciiTheme="minorHAnsi" w:hAnsiTheme="minorHAnsi" w:cstheme="minorHAnsi"/>
          <w:b/>
          <w:sz w:val="22"/>
        </w:rPr>
        <w:t>503-474-3850</w:t>
      </w:r>
      <w:r w:rsidRPr="006A4675">
        <w:rPr>
          <w:rFonts w:asciiTheme="minorHAnsi" w:hAnsiTheme="minorHAnsi" w:cstheme="minorHAnsi"/>
          <w:sz w:val="22"/>
        </w:rPr>
        <w:t xml:space="preserve"> or via </w:t>
      </w:r>
      <w:r w:rsidRPr="006A4675">
        <w:rPr>
          <w:rFonts w:asciiTheme="minorHAnsi" w:hAnsiTheme="minorHAnsi" w:cstheme="minorHAnsi"/>
          <w:b/>
          <w:sz w:val="22"/>
        </w:rPr>
        <w:t>secure email</w:t>
      </w:r>
      <w:r w:rsidRPr="006A4675">
        <w:rPr>
          <w:rFonts w:asciiTheme="minorHAnsi" w:hAnsiTheme="minorHAnsi" w:cstheme="minorHAnsi"/>
          <w:sz w:val="22"/>
        </w:rPr>
        <w:t xml:space="preserve"> to </w:t>
      </w:r>
      <w:hyperlink r:id="rId10" w:history="1">
        <w:r w:rsidRPr="006A4675">
          <w:rPr>
            <w:rStyle w:val="Hyperlink"/>
            <w:rFonts w:asciiTheme="minorHAnsi" w:hAnsiTheme="minorHAnsi" w:cstheme="minorHAnsi"/>
            <w:sz w:val="22"/>
          </w:rPr>
          <w:t>bhauthorizations@co.yamhill.or.us</w:t>
        </w:r>
      </w:hyperlink>
      <w:r w:rsidRPr="006A4675">
        <w:rPr>
          <w:rFonts w:asciiTheme="minorHAnsi" w:hAnsiTheme="minorHAnsi" w:cstheme="minorHAnsi"/>
          <w:sz w:val="22"/>
        </w:rPr>
        <w:t xml:space="preserve"> (Subject lines are NOT encrypted so please do not use PHI.)</w:t>
      </w:r>
    </w:p>
    <w:p w14:paraId="74791568"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 xml:space="preserve">To view the status of claims and authorization, after the authorization request form has been submitted, please refer to PH Tech’s CIM. If you do not have access to CIM3 with YCCO, please send an email to </w:t>
      </w:r>
      <w:hyperlink r:id="rId11" w:history="1">
        <w:r w:rsidRPr="006A4675">
          <w:rPr>
            <w:rStyle w:val="Hyperlink"/>
            <w:rFonts w:asciiTheme="minorHAnsi" w:hAnsiTheme="minorHAnsi" w:cstheme="minorHAnsi"/>
            <w:sz w:val="22"/>
          </w:rPr>
          <w:t>bhauthorizations@co.yamhill.or.us</w:t>
        </w:r>
      </w:hyperlink>
      <w:r w:rsidRPr="006A4675">
        <w:rPr>
          <w:rStyle w:val="Hyperlink"/>
          <w:rFonts w:asciiTheme="minorHAnsi" w:hAnsiTheme="minorHAnsi" w:cstheme="minorHAnsi"/>
          <w:sz w:val="22"/>
        </w:rPr>
        <w:t xml:space="preserve">. </w:t>
      </w:r>
    </w:p>
    <w:p w14:paraId="64372C31"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 xml:space="preserve">Yamhill </w:t>
      </w:r>
      <w:r w:rsidR="006409EA">
        <w:rPr>
          <w:rFonts w:asciiTheme="minorHAnsi" w:hAnsiTheme="minorHAnsi" w:cstheme="minorHAnsi"/>
          <w:sz w:val="22"/>
        </w:rPr>
        <w:t>CCO</w:t>
      </w:r>
      <w:r w:rsidRPr="006A4675">
        <w:rPr>
          <w:rFonts w:asciiTheme="minorHAnsi" w:hAnsiTheme="minorHAnsi" w:cstheme="minorHAnsi"/>
          <w:sz w:val="22"/>
        </w:rPr>
        <w:t xml:space="preserve"> </w:t>
      </w:r>
      <w:r w:rsidR="006409EA">
        <w:rPr>
          <w:rFonts w:asciiTheme="minorHAnsi" w:hAnsiTheme="minorHAnsi" w:cstheme="minorHAnsi"/>
          <w:sz w:val="22"/>
        </w:rPr>
        <w:t xml:space="preserve">credentialed </w:t>
      </w:r>
      <w:r w:rsidRPr="006A4675">
        <w:rPr>
          <w:rFonts w:asciiTheme="minorHAnsi" w:hAnsiTheme="minorHAnsi" w:cstheme="minorHAnsi"/>
          <w:sz w:val="22"/>
        </w:rPr>
        <w:t xml:space="preserve">providers must adhere to all current OAR’s applicable to </w:t>
      </w:r>
      <w:r w:rsidR="006409EA">
        <w:rPr>
          <w:rFonts w:asciiTheme="minorHAnsi" w:hAnsiTheme="minorHAnsi" w:cstheme="minorHAnsi"/>
          <w:sz w:val="22"/>
        </w:rPr>
        <w:t>the</w:t>
      </w:r>
      <w:r w:rsidRPr="006A4675">
        <w:rPr>
          <w:rFonts w:asciiTheme="minorHAnsi" w:hAnsiTheme="minorHAnsi" w:cstheme="minorHAnsi"/>
          <w:sz w:val="22"/>
        </w:rPr>
        <w:t xml:space="preserve"> services they provide. </w:t>
      </w:r>
    </w:p>
    <w:p w14:paraId="33A745EB"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 xml:space="preserve">Agency providers agree to ensure their staff is properly credentialed, verify they are eligible to provide Medicaid reimbursable services, and can provide proof of this verification upon request. </w:t>
      </w:r>
    </w:p>
    <w:p w14:paraId="33321459" w14:textId="77777777" w:rsidR="000873A7" w:rsidRPr="006A4675" w:rsidRDefault="000873A7" w:rsidP="000873A7">
      <w:pPr>
        <w:widowControl/>
        <w:numPr>
          <w:ilvl w:val="0"/>
          <w:numId w:val="8"/>
        </w:numPr>
        <w:tabs>
          <w:tab w:val="clear" w:pos="720"/>
          <w:tab w:val="num" w:pos="360"/>
        </w:tabs>
        <w:ind w:left="360"/>
        <w:jc w:val="both"/>
        <w:rPr>
          <w:rFonts w:asciiTheme="minorHAnsi" w:hAnsiTheme="minorHAnsi" w:cstheme="minorHAnsi"/>
          <w:sz w:val="22"/>
        </w:rPr>
      </w:pPr>
      <w:r w:rsidRPr="006A4675">
        <w:rPr>
          <w:rFonts w:asciiTheme="minorHAnsi" w:hAnsiTheme="minorHAnsi" w:cstheme="minorHAnsi"/>
          <w:sz w:val="22"/>
        </w:rPr>
        <w:t xml:space="preserve">If </w:t>
      </w:r>
      <w:r w:rsidR="006409EA">
        <w:rPr>
          <w:rFonts w:asciiTheme="minorHAnsi" w:hAnsiTheme="minorHAnsi" w:cstheme="minorHAnsi"/>
          <w:sz w:val="22"/>
        </w:rPr>
        <w:t xml:space="preserve">the </w:t>
      </w:r>
      <w:r w:rsidRPr="006A4675">
        <w:rPr>
          <w:rFonts w:asciiTheme="minorHAnsi" w:hAnsiTheme="minorHAnsi" w:cstheme="minorHAnsi"/>
          <w:sz w:val="22"/>
        </w:rPr>
        <w:t xml:space="preserve">authorization is approved, instructions for submitting claims and billing are provided on authorization approval form that will be sent back to you with a reference number. </w:t>
      </w:r>
    </w:p>
    <w:p w14:paraId="23437B37" w14:textId="77777777" w:rsidR="000873A7" w:rsidRPr="006A4675" w:rsidRDefault="000873A7" w:rsidP="000873A7">
      <w:pPr>
        <w:widowControl/>
        <w:ind w:left="360"/>
        <w:jc w:val="both"/>
        <w:rPr>
          <w:rFonts w:asciiTheme="minorHAnsi" w:hAnsiTheme="minorHAnsi" w:cstheme="minorHAnsi"/>
          <w:sz w:val="22"/>
        </w:rPr>
      </w:pPr>
    </w:p>
    <w:p w14:paraId="6EDAC17F" w14:textId="77777777" w:rsidR="00FB357B" w:rsidRPr="006A4675" w:rsidRDefault="000873A7" w:rsidP="000873A7">
      <w:pPr>
        <w:widowControl/>
        <w:ind w:left="360"/>
        <w:jc w:val="center"/>
        <w:rPr>
          <w:rFonts w:asciiTheme="minorHAnsi" w:hAnsiTheme="minorHAnsi" w:cstheme="minorHAnsi"/>
          <w:sz w:val="22"/>
        </w:rPr>
      </w:pPr>
      <w:r w:rsidRPr="006A4675">
        <w:rPr>
          <w:rFonts w:asciiTheme="minorHAnsi" w:hAnsiTheme="minorHAnsi" w:cstheme="minorHAnsi"/>
          <w:i/>
        </w:rPr>
        <w:t>Thank you for your work with our members!</w:t>
      </w:r>
    </w:p>
    <w:sectPr w:rsidR="00FB357B" w:rsidRPr="006A4675" w:rsidSect="0013179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288" w:left="81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D5F0" w14:textId="77777777" w:rsidR="00B76FF8" w:rsidRDefault="00B76FF8" w:rsidP="00CC664B">
      <w:r>
        <w:separator/>
      </w:r>
    </w:p>
  </w:endnote>
  <w:endnote w:type="continuationSeparator" w:id="0">
    <w:p w14:paraId="068571F9" w14:textId="77777777" w:rsidR="00B76FF8" w:rsidRDefault="00B76FF8" w:rsidP="00CC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580C" w14:textId="77777777" w:rsidR="00C46050" w:rsidRDefault="00C46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FE66" w14:textId="77777777" w:rsidR="00C46050" w:rsidRDefault="00C46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BD04" w14:textId="77777777" w:rsidR="00C46050" w:rsidRDefault="00C4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E18C" w14:textId="77777777" w:rsidR="00B76FF8" w:rsidRDefault="00B76FF8" w:rsidP="00CC664B">
      <w:r>
        <w:separator/>
      </w:r>
    </w:p>
  </w:footnote>
  <w:footnote w:type="continuationSeparator" w:id="0">
    <w:p w14:paraId="0DFADFAB" w14:textId="77777777" w:rsidR="00B76FF8" w:rsidRDefault="00B76FF8" w:rsidP="00CC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D988" w14:textId="77777777" w:rsidR="00C46050" w:rsidRDefault="00C46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1075" w14:textId="1FDE683F" w:rsidR="00D30B21" w:rsidRPr="00D30B21" w:rsidRDefault="00C46050" w:rsidP="00D30B21">
    <w:pPr>
      <w:pBdr>
        <w:bottom w:val="single" w:sz="8" w:space="7" w:color="auto"/>
      </w:pBdr>
      <w:spacing w:before="120" w:after="120" w:line="192" w:lineRule="auto"/>
      <w:rPr>
        <w:rFonts w:asciiTheme="minorHAnsi" w:eastAsia="Dotum" w:hAnsiTheme="minorHAnsi" w:cstheme="minorHAnsi"/>
        <w:b/>
        <w:sz w:val="20"/>
        <w:szCs w:val="16"/>
      </w:rPr>
    </w:pPr>
    <w:r>
      <w:rPr>
        <w:noProof/>
        <w:snapToGrid/>
      </w:rPr>
      <w:drawing>
        <wp:anchor distT="0" distB="0" distL="114300" distR="114300" simplePos="0" relativeHeight="251659264" behindDoc="1" locked="0" layoutInCell="1" allowOverlap="1" wp14:anchorId="128E5598" wp14:editId="26416888">
          <wp:simplePos x="0" y="0"/>
          <wp:positionH relativeFrom="column">
            <wp:posOffset>4829175</wp:posOffset>
          </wp:positionH>
          <wp:positionV relativeFrom="paragraph">
            <wp:posOffset>-47625</wp:posOffset>
          </wp:positionV>
          <wp:extent cx="1901825" cy="30480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chhs_logo.png"/>
                  <pic:cNvPicPr/>
                </pic:nvPicPr>
                <pic:blipFill>
                  <a:blip r:embed="rId1">
                    <a:extLst>
                      <a:ext uri="{28A0092B-C50C-407E-A947-70E740481C1C}">
                        <a14:useLocalDpi xmlns:a14="http://schemas.microsoft.com/office/drawing/2010/main" val="0"/>
                      </a:ext>
                    </a:extLst>
                  </a:blip>
                  <a:stretch>
                    <a:fillRect/>
                  </a:stretch>
                </pic:blipFill>
                <pic:spPr>
                  <a:xfrm>
                    <a:off x="0" y="0"/>
                    <a:ext cx="1901825" cy="3048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Dotum" w:hAnsiTheme="minorHAnsi" w:cstheme="minorHAnsi"/>
        <w:b/>
        <w:noProof/>
        <w:snapToGrid/>
        <w:sz w:val="20"/>
        <w:szCs w:val="16"/>
      </w:rPr>
      <w:drawing>
        <wp:inline distT="0" distB="0" distL="0" distR="0" wp14:anchorId="4B349CF1" wp14:editId="1C5523FA">
          <wp:extent cx="1371600" cy="71398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mhill_Logo_Color_150.jpg"/>
                  <pic:cNvPicPr/>
                </pic:nvPicPr>
                <pic:blipFill>
                  <a:blip r:embed="rId2"/>
                  <a:stretch>
                    <a:fillRect/>
                  </a:stretch>
                </pic:blipFill>
                <pic:spPr>
                  <a:xfrm>
                    <a:off x="0" y="0"/>
                    <a:ext cx="1428696" cy="743705"/>
                  </a:xfrm>
                  <a:prstGeom prst="rect">
                    <a:avLst/>
                  </a:prstGeom>
                </pic:spPr>
              </pic:pic>
            </a:graphicData>
          </a:graphic>
        </wp:inline>
      </w:drawing>
    </w:r>
    <w:r w:rsidR="00D30B21">
      <w:rPr>
        <w:rFonts w:asciiTheme="minorHAnsi" w:eastAsia="Dotum" w:hAnsiTheme="minorHAnsi" w:cstheme="minorHAnsi"/>
        <w:b/>
        <w:sz w:val="20"/>
        <w:szCs w:val="16"/>
      </w:rPr>
      <w:tab/>
    </w:r>
    <w:r w:rsidR="00D30B21">
      <w:rPr>
        <w:rFonts w:asciiTheme="minorHAnsi" w:eastAsia="Dotum" w:hAnsiTheme="minorHAnsi" w:cstheme="minorHAnsi"/>
        <w:b/>
        <w:sz w:val="20"/>
        <w:szCs w:val="16"/>
      </w:rPr>
      <w:tab/>
    </w:r>
    <w:r w:rsidR="00D30B21" w:rsidRPr="00D30B21">
      <w:rPr>
        <w:rFonts w:asciiTheme="minorHAnsi" w:eastAsia="Dotum" w:hAnsiTheme="minorHAnsi" w:cstheme="minorHAnsi"/>
        <w:b/>
        <w:sz w:val="20"/>
        <w:szCs w:val="16"/>
      </w:rPr>
      <w:t>Yamhill County Health and Human Services</w:t>
    </w:r>
  </w:p>
  <w:p w14:paraId="62EA4333" w14:textId="77777777" w:rsidR="00D30B21" w:rsidRPr="00452126" w:rsidRDefault="00D30B21" w:rsidP="00D30B21">
    <w:pPr>
      <w:pBdr>
        <w:bottom w:val="single" w:sz="8" w:space="7" w:color="auto"/>
      </w:pBdr>
      <w:spacing w:before="120" w:after="120" w:line="192" w:lineRule="auto"/>
      <w:ind w:firstLine="720"/>
      <w:jc w:val="center"/>
      <w:rPr>
        <w:rFonts w:asciiTheme="minorHAnsi" w:eastAsia="Dotum" w:hAnsiTheme="minorHAnsi" w:cstheme="minorHAnsi"/>
        <w:sz w:val="16"/>
        <w:szCs w:val="16"/>
      </w:rPr>
    </w:pPr>
    <w:r w:rsidRPr="00452126">
      <w:rPr>
        <w:rFonts w:asciiTheme="minorHAnsi" w:eastAsia="Dotum" w:hAnsiTheme="minorHAnsi" w:cstheme="minorHAnsi"/>
        <w:sz w:val="16"/>
        <w:szCs w:val="16"/>
      </w:rPr>
      <w:t>627 NE Evans Street McMinnville, Oregon 97128</w:t>
    </w:r>
  </w:p>
  <w:p w14:paraId="5020EE8B" w14:textId="77777777" w:rsidR="007270BD" w:rsidRPr="00D30B21" w:rsidRDefault="00D30B21" w:rsidP="00D30B21">
    <w:pPr>
      <w:pBdr>
        <w:bottom w:val="single" w:sz="8" w:space="7" w:color="auto"/>
      </w:pBdr>
      <w:tabs>
        <w:tab w:val="left" w:pos="1125"/>
      </w:tabs>
      <w:spacing w:before="120" w:after="120" w:line="192" w:lineRule="auto"/>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sidRPr="00452126">
      <w:rPr>
        <w:rFonts w:asciiTheme="minorHAnsi" w:hAnsiTheme="minorHAnsi" w:cstheme="minorHAnsi"/>
        <w:sz w:val="16"/>
        <w:szCs w:val="16"/>
      </w:rPr>
      <w:t>Office:  (503) 474-6884   Fax:  (503) 474-3850 TTY: 1-800-735-2900</w:t>
    </w:r>
    <w:r w:rsidR="00FF2959">
      <w:rPr>
        <w:noProof/>
        <w:snapToGrid/>
      </w:rPr>
      <mc:AlternateContent>
        <mc:Choice Requires="wps">
          <w:drawing>
            <wp:anchor distT="0" distB="0" distL="114300" distR="114300" simplePos="0" relativeHeight="251656192" behindDoc="0" locked="0" layoutInCell="1" allowOverlap="1" wp14:anchorId="500CA647" wp14:editId="1053E09D">
              <wp:simplePos x="0" y="0"/>
              <wp:positionH relativeFrom="column">
                <wp:posOffset>-742950</wp:posOffset>
              </wp:positionH>
              <wp:positionV relativeFrom="paragraph">
                <wp:posOffset>-99695</wp:posOffset>
              </wp:positionV>
              <wp:extent cx="2031365" cy="1033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1033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DCB34F" w14:textId="77777777" w:rsidR="007270BD" w:rsidRDefault="007270BD" w:rsidP="00CC664B"/>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5D8D874" id="_x0000_t202" coordsize="21600,21600" o:spt="202" path="m,l,21600r21600,l21600,xe">
              <v:stroke joinstyle="miter"/>
              <v:path gradientshapeok="t" o:connecttype="rect"/>
            </v:shapetype>
            <v:shape id="Text Box 1" o:spid="_x0000_s1026" type="#_x0000_t202" style="position:absolute;margin-left:-58.5pt;margin-top:-7.85pt;width:159.95pt;height:81.35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" filled="f" stroked="f">
              <v:textbox>
                <w:txbxContent>
                  <w:p w:rsidR="007270BD" w:rsidRDefault="007270BD" w:rsidP="00CC664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B705" w14:textId="77777777" w:rsidR="00C46050" w:rsidRDefault="00C46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624"/>
    <w:multiLevelType w:val="hybridMultilevel"/>
    <w:tmpl w:val="EFB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48F2"/>
    <w:multiLevelType w:val="hybridMultilevel"/>
    <w:tmpl w:val="4B7E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E643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D960290"/>
    <w:multiLevelType w:val="hybridMultilevel"/>
    <w:tmpl w:val="3302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07FAE"/>
    <w:multiLevelType w:val="hybridMultilevel"/>
    <w:tmpl w:val="080866B2"/>
    <w:lvl w:ilvl="0" w:tplc="15DCD624">
      <w:start w:val="1"/>
      <w:numFmt w:val="decimal"/>
      <w:lvlText w:val="%1."/>
      <w:lvlJc w:val="left"/>
      <w:pPr>
        <w:tabs>
          <w:tab w:val="num" w:pos="720"/>
        </w:tabs>
        <w:ind w:left="720" w:hanging="360"/>
      </w:pPr>
      <w:rPr>
        <w:rFonts w:hint="default"/>
        <w:sz w:val="24"/>
        <w:szCs w:val="24"/>
      </w:rPr>
    </w:lvl>
    <w:lvl w:ilvl="1" w:tplc="5096F7C4">
      <w:start w:val="1"/>
      <w:numFmt w:val="lowerLetter"/>
      <w:lvlText w:val="%2."/>
      <w:lvlJc w:val="left"/>
      <w:pPr>
        <w:tabs>
          <w:tab w:val="num" w:pos="1440"/>
        </w:tabs>
        <w:ind w:left="1440" w:hanging="360"/>
      </w:pPr>
      <w:rPr>
        <w:sz w:val="24"/>
        <w:szCs w:val="24"/>
      </w:rPr>
    </w:lvl>
    <w:lvl w:ilvl="2" w:tplc="049646F4">
      <w:start w:val="1"/>
      <w:numFmt w:val="lowerRoman"/>
      <w:lvlText w:val="%3."/>
      <w:lvlJc w:val="right"/>
      <w:pPr>
        <w:tabs>
          <w:tab w:val="num" w:pos="2160"/>
        </w:tabs>
        <w:ind w:left="2160" w:hanging="180"/>
      </w:pPr>
      <w:rPr>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244CF0"/>
    <w:multiLevelType w:val="hybridMultilevel"/>
    <w:tmpl w:val="FB64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F0A2D"/>
    <w:multiLevelType w:val="hybridMultilevel"/>
    <w:tmpl w:val="32DA2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9F390A"/>
    <w:multiLevelType w:val="hybridMultilevel"/>
    <w:tmpl w:val="AB38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915F9"/>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D8E12E0"/>
    <w:multiLevelType w:val="hybridMultilevel"/>
    <w:tmpl w:val="A5EE20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9"/>
  </w:num>
  <w:num w:numId="4">
    <w:abstractNumId w:val="7"/>
  </w:num>
  <w:num w:numId="5">
    <w:abstractNumId w:val="3"/>
  </w:num>
  <w:num w:numId="6">
    <w:abstractNumId w:val="0"/>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0E"/>
    <w:rsid w:val="000030BA"/>
    <w:rsid w:val="0001610C"/>
    <w:rsid w:val="0006235F"/>
    <w:rsid w:val="00062D6B"/>
    <w:rsid w:val="000873A7"/>
    <w:rsid w:val="000A2322"/>
    <w:rsid w:val="000F7BE7"/>
    <w:rsid w:val="0010093C"/>
    <w:rsid w:val="0013179C"/>
    <w:rsid w:val="001A2241"/>
    <w:rsid w:val="001B6ACD"/>
    <w:rsid w:val="001D5486"/>
    <w:rsid w:val="001E1CF2"/>
    <w:rsid w:val="001E7C56"/>
    <w:rsid w:val="00214981"/>
    <w:rsid w:val="00251C9C"/>
    <w:rsid w:val="00277C64"/>
    <w:rsid w:val="002950E2"/>
    <w:rsid w:val="002C1645"/>
    <w:rsid w:val="00357ECA"/>
    <w:rsid w:val="00381717"/>
    <w:rsid w:val="003C559A"/>
    <w:rsid w:val="003E6EFC"/>
    <w:rsid w:val="00411215"/>
    <w:rsid w:val="00417C04"/>
    <w:rsid w:val="00434850"/>
    <w:rsid w:val="00452126"/>
    <w:rsid w:val="00457A58"/>
    <w:rsid w:val="004610B3"/>
    <w:rsid w:val="004A7DB5"/>
    <w:rsid w:val="004B6A42"/>
    <w:rsid w:val="0050640E"/>
    <w:rsid w:val="0052656E"/>
    <w:rsid w:val="00556A16"/>
    <w:rsid w:val="005609CC"/>
    <w:rsid w:val="0058198F"/>
    <w:rsid w:val="00582C33"/>
    <w:rsid w:val="005E5914"/>
    <w:rsid w:val="00604E1E"/>
    <w:rsid w:val="006209F6"/>
    <w:rsid w:val="00626756"/>
    <w:rsid w:val="006409EA"/>
    <w:rsid w:val="0064527D"/>
    <w:rsid w:val="006A4675"/>
    <w:rsid w:val="006E1947"/>
    <w:rsid w:val="00705CB0"/>
    <w:rsid w:val="007270BD"/>
    <w:rsid w:val="007A3F20"/>
    <w:rsid w:val="00824FCD"/>
    <w:rsid w:val="00857BDC"/>
    <w:rsid w:val="00881AF1"/>
    <w:rsid w:val="008C06BA"/>
    <w:rsid w:val="008E15D9"/>
    <w:rsid w:val="00904291"/>
    <w:rsid w:val="00937B1A"/>
    <w:rsid w:val="0098761D"/>
    <w:rsid w:val="009A674E"/>
    <w:rsid w:val="00A2085B"/>
    <w:rsid w:val="00A56CBE"/>
    <w:rsid w:val="00A629E8"/>
    <w:rsid w:val="00A86D34"/>
    <w:rsid w:val="00AA4390"/>
    <w:rsid w:val="00AB5076"/>
    <w:rsid w:val="00AD4837"/>
    <w:rsid w:val="00B53D7C"/>
    <w:rsid w:val="00B76FF8"/>
    <w:rsid w:val="00BC140A"/>
    <w:rsid w:val="00BC4DD5"/>
    <w:rsid w:val="00C011D2"/>
    <w:rsid w:val="00C46050"/>
    <w:rsid w:val="00C81049"/>
    <w:rsid w:val="00C863B2"/>
    <w:rsid w:val="00C93A04"/>
    <w:rsid w:val="00CC664B"/>
    <w:rsid w:val="00D12855"/>
    <w:rsid w:val="00D30B21"/>
    <w:rsid w:val="00D33F14"/>
    <w:rsid w:val="00D74A43"/>
    <w:rsid w:val="00D75848"/>
    <w:rsid w:val="00D80BB2"/>
    <w:rsid w:val="00DE2065"/>
    <w:rsid w:val="00DE4032"/>
    <w:rsid w:val="00DF1A10"/>
    <w:rsid w:val="00E6501F"/>
    <w:rsid w:val="00E83587"/>
    <w:rsid w:val="00EE2901"/>
    <w:rsid w:val="00F3614F"/>
    <w:rsid w:val="00F468B1"/>
    <w:rsid w:val="00F5711C"/>
    <w:rsid w:val="00F72C8B"/>
    <w:rsid w:val="00F95D18"/>
    <w:rsid w:val="00FA12A5"/>
    <w:rsid w:val="00FB357B"/>
    <w:rsid w:val="00FE4F57"/>
    <w:rsid w:val="00FF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609AD"/>
  <w15:docId w15:val="{02AF1D3F-DBD1-4F38-BE46-BFB12A07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1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4B"/>
    <w:pPr>
      <w:tabs>
        <w:tab w:val="center" w:pos="4680"/>
        <w:tab w:val="right" w:pos="9360"/>
      </w:tabs>
    </w:pPr>
  </w:style>
  <w:style w:type="character" w:customStyle="1" w:styleId="HeaderChar">
    <w:name w:val="Header Char"/>
    <w:basedOn w:val="DefaultParagraphFont"/>
    <w:link w:val="Header"/>
    <w:uiPriority w:val="99"/>
    <w:rsid w:val="00CC664B"/>
  </w:style>
  <w:style w:type="paragraph" w:styleId="Footer">
    <w:name w:val="footer"/>
    <w:basedOn w:val="Normal"/>
    <w:link w:val="FooterChar"/>
    <w:uiPriority w:val="99"/>
    <w:unhideWhenUsed/>
    <w:rsid w:val="00CC664B"/>
    <w:pPr>
      <w:tabs>
        <w:tab w:val="center" w:pos="4680"/>
        <w:tab w:val="right" w:pos="9360"/>
      </w:tabs>
    </w:pPr>
  </w:style>
  <w:style w:type="character" w:customStyle="1" w:styleId="FooterChar">
    <w:name w:val="Footer Char"/>
    <w:basedOn w:val="DefaultParagraphFont"/>
    <w:link w:val="Footer"/>
    <w:uiPriority w:val="99"/>
    <w:rsid w:val="00CC664B"/>
  </w:style>
  <w:style w:type="paragraph" w:styleId="BalloonText">
    <w:name w:val="Balloon Text"/>
    <w:basedOn w:val="Normal"/>
    <w:link w:val="BalloonTextChar"/>
    <w:uiPriority w:val="99"/>
    <w:semiHidden/>
    <w:unhideWhenUsed/>
    <w:rsid w:val="00CC664B"/>
    <w:rPr>
      <w:rFonts w:ascii="Tahoma" w:hAnsi="Tahoma" w:cs="Tahoma"/>
      <w:sz w:val="16"/>
      <w:szCs w:val="16"/>
    </w:rPr>
  </w:style>
  <w:style w:type="character" w:customStyle="1" w:styleId="BalloonTextChar">
    <w:name w:val="Balloon Text Char"/>
    <w:basedOn w:val="DefaultParagraphFont"/>
    <w:link w:val="BalloonText"/>
    <w:uiPriority w:val="99"/>
    <w:semiHidden/>
    <w:rsid w:val="00CC664B"/>
    <w:rPr>
      <w:rFonts w:ascii="Tahoma" w:hAnsi="Tahoma" w:cs="Tahoma"/>
      <w:sz w:val="16"/>
      <w:szCs w:val="16"/>
    </w:rPr>
  </w:style>
  <w:style w:type="paragraph" w:styleId="NoSpacing">
    <w:name w:val="No Spacing"/>
    <w:uiPriority w:val="1"/>
    <w:qFormat/>
    <w:rsid w:val="007270BD"/>
    <w:pPr>
      <w:spacing w:after="0" w:line="240" w:lineRule="auto"/>
    </w:pPr>
  </w:style>
  <w:style w:type="character" w:styleId="Hyperlink">
    <w:name w:val="Hyperlink"/>
    <w:basedOn w:val="DefaultParagraphFont"/>
    <w:uiPriority w:val="99"/>
    <w:unhideWhenUsed/>
    <w:rsid w:val="007270BD"/>
    <w:rPr>
      <w:color w:val="0000FF" w:themeColor="hyperlink"/>
      <w:u w:val="single"/>
    </w:rPr>
  </w:style>
  <w:style w:type="paragraph" w:styleId="ListParagraph">
    <w:name w:val="List Paragraph"/>
    <w:basedOn w:val="Normal"/>
    <w:uiPriority w:val="34"/>
    <w:qFormat/>
    <w:rsid w:val="00604E1E"/>
    <w:pPr>
      <w:ind w:left="720"/>
      <w:contextualSpacing/>
    </w:pPr>
  </w:style>
  <w:style w:type="character" w:styleId="PlaceholderText">
    <w:name w:val="Placeholder Text"/>
    <w:basedOn w:val="DefaultParagraphFont"/>
    <w:uiPriority w:val="99"/>
    <w:semiHidden/>
    <w:rsid w:val="00556A16"/>
    <w:rPr>
      <w:color w:val="808080"/>
    </w:rPr>
  </w:style>
  <w:style w:type="character" w:customStyle="1" w:styleId="tofcheader">
    <w:name w:val="tofc_header"/>
    <w:basedOn w:val="DefaultParagraphFont"/>
    <w:rsid w:val="000873A7"/>
  </w:style>
  <w:style w:type="paragraph" w:styleId="BodyText">
    <w:name w:val="Body Text"/>
    <w:basedOn w:val="Normal"/>
    <w:link w:val="BodyTextChar"/>
    <w:rsid w:val="006A4675"/>
    <w:pPr>
      <w:widowControl/>
    </w:pPr>
    <w:rPr>
      <w:snapToGrid/>
      <w:sz w:val="16"/>
    </w:rPr>
  </w:style>
  <w:style w:type="character" w:customStyle="1" w:styleId="BodyTextChar">
    <w:name w:val="Body Text Char"/>
    <w:basedOn w:val="DefaultParagraphFont"/>
    <w:link w:val="BodyText"/>
    <w:rsid w:val="006A4675"/>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uthorizations@co.yamhill.o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uthorizations@co.yamhill.or.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hauthorizations@co.yamhill.o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amhillcco.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74DD-18C0-4AC5-BC4C-0CADA0ED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Heidt-Vanderschoot</dc:creator>
  <cp:lastModifiedBy>Christina Cortez-Bannick</cp:lastModifiedBy>
  <cp:revision>2</cp:revision>
  <cp:lastPrinted>2016-03-17T21:07:00Z</cp:lastPrinted>
  <dcterms:created xsi:type="dcterms:W3CDTF">2021-01-05T19:21:00Z</dcterms:created>
  <dcterms:modified xsi:type="dcterms:W3CDTF">2021-01-05T19:21:00Z</dcterms:modified>
</cp:coreProperties>
</file>